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74" w:rsidRDefault="00D42874" w:rsidP="00D42874">
      <w:pPr>
        <w:tabs>
          <w:tab w:val="left" w:pos="2268"/>
          <w:tab w:val="left" w:pos="2553"/>
          <w:tab w:val="left" w:pos="3404"/>
          <w:tab w:val="left" w:pos="4255"/>
          <w:tab w:val="left" w:pos="5106"/>
          <w:tab w:val="left" w:pos="6300"/>
        </w:tabs>
        <w:ind w:right="-163"/>
        <w:jc w:val="center"/>
        <w:rPr>
          <w:b/>
          <w:sz w:val="36"/>
          <w:szCs w:val="36"/>
        </w:rPr>
      </w:pPr>
      <w:bookmarkStart w:id="0" w:name="_GoBack"/>
      <w:bookmarkEnd w:id="0"/>
      <w:r>
        <w:rPr>
          <w:b/>
          <w:sz w:val="36"/>
          <w:szCs w:val="36"/>
        </w:rPr>
        <w:t>TERM SHEET</w:t>
      </w:r>
    </w:p>
    <w:p w:rsidR="00D42874" w:rsidRDefault="00D42874" w:rsidP="00D42874">
      <w:pPr>
        <w:jc w:val="center"/>
        <w:rPr>
          <w:b/>
        </w:rPr>
      </w:pPr>
    </w:p>
    <w:p w:rsidR="00D42874" w:rsidRDefault="00D42874" w:rsidP="00D42874">
      <w:pPr>
        <w:jc w:val="center"/>
        <w:rPr>
          <w:b/>
        </w:rPr>
      </w:pPr>
      <w:r>
        <w:rPr>
          <w:b/>
        </w:rPr>
        <w:t>FOR ISSUE OF ORDINARY SHARES BY</w:t>
      </w:r>
    </w:p>
    <w:p w:rsidR="00D42874" w:rsidRDefault="00D42874" w:rsidP="00D42874">
      <w:pPr>
        <w:jc w:val="center"/>
        <w:rPr>
          <w:b/>
        </w:rPr>
      </w:pPr>
    </w:p>
    <w:p w:rsidR="00D42874" w:rsidRDefault="00D42874" w:rsidP="00D42874">
      <w:pPr>
        <w:jc w:val="center"/>
        <w:rPr>
          <w:b/>
        </w:rPr>
      </w:pPr>
      <w:r>
        <w:rPr>
          <w:b/>
        </w:rPr>
        <w:t xml:space="preserve">[ </w:t>
      </w:r>
      <w:r>
        <w:rPr>
          <w:b/>
        </w:rPr>
        <w:tab/>
        <w:t xml:space="preserve"> ] LIMITED</w:t>
      </w:r>
    </w:p>
    <w:p w:rsidR="00D42874" w:rsidRDefault="00D42874" w:rsidP="00D42874">
      <w:pPr>
        <w:jc w:val="center"/>
        <w:rPr>
          <w:b/>
        </w:rPr>
      </w:pPr>
    </w:p>
    <w:p w:rsidR="00D42874" w:rsidRDefault="00D42874" w:rsidP="00D42874">
      <w:pPr>
        <w:jc w:val="center"/>
        <w:rPr>
          <w:b/>
        </w:rPr>
      </w:pPr>
      <w:r>
        <w:rPr>
          <w:b/>
        </w:rPr>
        <w:t>(Company)</w:t>
      </w:r>
    </w:p>
    <w:p w:rsidR="00D42874" w:rsidRDefault="00D42874" w:rsidP="00D42874"/>
    <w:p w:rsidR="00D42874" w:rsidRDefault="00D42874" w:rsidP="00D42874">
      <w:pPr>
        <w:rPr>
          <w:b/>
          <w:i/>
          <w:sz w:val="16"/>
          <w:szCs w:val="16"/>
        </w:rPr>
      </w:pPr>
      <w:r>
        <w:rPr>
          <w:b/>
          <w:i/>
          <w:sz w:val="18"/>
          <w:szCs w:val="18"/>
        </w:rPr>
        <w:t>General notes:  This term sheet applies if the investment is in ordinary shares.  Refer to alternative term sheets if preferred terms required or if the investment is structured as a loan convertible to equity.</w:t>
      </w:r>
      <w:r>
        <w:t xml:space="preserve">  </w:t>
      </w:r>
      <w:r>
        <w:rPr>
          <w:b/>
          <w:i/>
          <w:sz w:val="18"/>
          <w:szCs w:val="18"/>
        </w:rPr>
        <w:t>The more optional provisions appear in italics and instructions appear in bold italics.  Refer to footnotes at the bottom of each page for comments on some of the optional provisions</w:t>
      </w:r>
      <w:r>
        <w:rPr>
          <w:b/>
          <w:i/>
          <w:sz w:val="16"/>
          <w:szCs w:val="16"/>
        </w:rPr>
        <w:t xml:space="preserve">. </w:t>
      </w:r>
    </w:p>
    <w:p w:rsidR="00D42874" w:rsidRDefault="00D42874" w:rsidP="00D42874"/>
    <w:p w:rsidR="00D42874" w:rsidRDefault="00D42874" w:rsidP="00D42874"/>
    <w:p w:rsidR="00D42874" w:rsidRDefault="00D42874" w:rsidP="00D42874">
      <w:r>
        <w:t>This document (</w:t>
      </w:r>
      <w:r>
        <w:rPr>
          <w:b/>
        </w:rPr>
        <w:t>Term Sheet</w:t>
      </w:r>
      <w:r>
        <w:t>) summarises the principal terms of a proposed investment in the Company (</w:t>
      </w:r>
      <w:r>
        <w:rPr>
          <w:b/>
        </w:rPr>
        <w:t>Investment</w:t>
      </w:r>
      <w:r>
        <w:t>).  This Term Sheet is not legally binding except for the terms stated in part B of this Term Sheet and there will be no obligation to issue or subscribe for shares in the Company until a binding investment agreement (</w:t>
      </w:r>
      <w:r>
        <w:rPr>
          <w:b/>
        </w:rPr>
        <w:t>Investment Agreement</w:t>
      </w:r>
      <w:r>
        <w:t>) is signed by the parties.</w:t>
      </w:r>
    </w:p>
    <w:p w:rsidR="00D42874" w:rsidRDefault="00D42874" w:rsidP="00D42874">
      <w:pPr>
        <w:jc w:val="left"/>
      </w:pPr>
    </w:p>
    <w:p w:rsidR="00D42874" w:rsidRDefault="00D42874" w:rsidP="00D42874">
      <w:pPr>
        <w:jc w:val="left"/>
        <w:rPr>
          <w:b/>
        </w:rPr>
      </w:pPr>
      <w:r>
        <w:rPr>
          <w:b/>
        </w:rPr>
        <w:t>PART A:  INVESTMENT TERMS (non-binding)</w:t>
      </w:r>
    </w:p>
    <w:p w:rsidR="00D42874" w:rsidRDefault="00D42874" w:rsidP="00D42874">
      <w:pPr>
        <w:jc w:val="left"/>
        <w:rPr>
          <w:b/>
        </w:rPr>
      </w:pPr>
    </w:p>
    <w:p w:rsidR="00D42874" w:rsidRDefault="00D42874" w:rsidP="00D42874">
      <w:pPr>
        <w:ind w:right="621"/>
        <w:jc w:val="left"/>
      </w:pPr>
    </w:p>
    <w:tbl>
      <w:tblPr>
        <w:tblW w:w="9589" w:type="dxa"/>
        <w:tblInd w:w="108" w:type="dxa"/>
        <w:tblLook w:val="01E0" w:firstRow="1" w:lastRow="1" w:firstColumn="1" w:lastColumn="1" w:noHBand="0" w:noVBand="0"/>
      </w:tblPr>
      <w:tblGrid>
        <w:gridCol w:w="2814"/>
        <w:gridCol w:w="6775"/>
      </w:tblGrid>
      <w:tr w:rsidR="00D42874" w:rsidTr="00EA7076">
        <w:tc>
          <w:tcPr>
            <w:tcW w:w="2814" w:type="dxa"/>
            <w:shd w:val="clear" w:color="auto" w:fill="auto"/>
          </w:tcPr>
          <w:p w:rsidR="00D42874" w:rsidRPr="009D0487" w:rsidRDefault="00D42874" w:rsidP="00EA7076">
            <w:pPr>
              <w:jc w:val="left"/>
              <w:rPr>
                <w:b/>
              </w:rPr>
            </w:pPr>
            <w:r w:rsidRPr="009D0487">
              <w:rPr>
                <w:b/>
              </w:rPr>
              <w:t>Business:</w:t>
            </w:r>
          </w:p>
        </w:tc>
        <w:tc>
          <w:tcPr>
            <w:tcW w:w="6775" w:type="dxa"/>
            <w:shd w:val="clear" w:color="auto" w:fill="auto"/>
          </w:tcPr>
          <w:p w:rsidR="00D42874" w:rsidRDefault="00D42874" w:rsidP="00EA7076">
            <w:r>
              <w:t>The [</w:t>
            </w:r>
            <w:r w:rsidRPr="002761B1">
              <w:rPr>
                <w:b/>
                <w:i/>
              </w:rPr>
              <w:t>proposed</w:t>
            </w:r>
            <w:r>
              <w:t>] business of the Company relating to</w:t>
            </w:r>
            <w:r w:rsidRPr="009D0487">
              <w:rPr>
                <w:i/>
              </w:rPr>
              <w:t xml:space="preserve"> </w:t>
            </w:r>
            <w:r>
              <w:t>[</w:t>
            </w:r>
            <w:r w:rsidRPr="009D0487">
              <w:rPr>
                <w:b/>
                <w:i/>
              </w:rPr>
              <w:t>describe business</w:t>
            </w:r>
            <w:r>
              <w:t>] (</w:t>
            </w:r>
            <w:r w:rsidRPr="009D0487">
              <w:rPr>
                <w:b/>
              </w:rPr>
              <w:t>Business</w:t>
            </w:r>
            <w:r>
              <w:t>).</w:t>
            </w:r>
          </w:p>
          <w:p w:rsidR="00D42874" w:rsidRDefault="00D42874" w:rsidP="00EA7076"/>
        </w:tc>
      </w:tr>
      <w:tr w:rsidR="00D42874" w:rsidTr="00EA7076">
        <w:tc>
          <w:tcPr>
            <w:tcW w:w="2814" w:type="dxa"/>
            <w:shd w:val="clear" w:color="auto" w:fill="auto"/>
          </w:tcPr>
          <w:p w:rsidR="00D42874" w:rsidRPr="009D0487" w:rsidRDefault="00D42874" w:rsidP="00EA7076">
            <w:pPr>
              <w:jc w:val="left"/>
              <w:rPr>
                <w:b/>
              </w:rPr>
            </w:pPr>
            <w:r w:rsidRPr="009D0487">
              <w:rPr>
                <w:b/>
              </w:rPr>
              <w:t>Investment Amount:</w:t>
            </w:r>
          </w:p>
        </w:tc>
        <w:tc>
          <w:tcPr>
            <w:tcW w:w="6775" w:type="dxa"/>
            <w:shd w:val="clear" w:color="auto" w:fill="auto"/>
          </w:tcPr>
          <w:p w:rsidR="0083534F" w:rsidRDefault="0083534F" w:rsidP="0083534F">
            <w:r>
              <w:t>[</w:t>
            </w:r>
            <w:r w:rsidRPr="002D76E2">
              <w:rPr>
                <w:i/>
              </w:rPr>
              <w:t>Up to</w:t>
            </w:r>
            <w:r>
              <w:rPr>
                <w:rStyle w:val="FootnoteReference"/>
              </w:rPr>
              <w:footnoteReference w:id="1"/>
            </w:r>
            <w:r>
              <w:t xml:space="preserve">] $ [            ] </w:t>
            </w:r>
          </w:p>
          <w:p w:rsidR="0083534F" w:rsidRDefault="0083534F" w:rsidP="0083534F">
            <w:r>
              <w:t>[(</w:t>
            </w:r>
            <w:r w:rsidRPr="002D76E2">
              <w:rPr>
                <w:i/>
              </w:rPr>
              <w:t>subject to achievement of milestones</w:t>
            </w:r>
            <w:r>
              <w:t>)] (</w:t>
            </w:r>
            <w:r w:rsidRPr="002D76E2">
              <w:rPr>
                <w:b/>
              </w:rPr>
              <w:t>Investment Amount</w:t>
            </w:r>
            <w:r>
              <w:t>).</w:t>
            </w:r>
          </w:p>
          <w:p w:rsidR="00D42874" w:rsidRDefault="00D42874" w:rsidP="00EA7076"/>
        </w:tc>
      </w:tr>
      <w:tr w:rsidR="0083534F" w:rsidTr="00EA7076">
        <w:tc>
          <w:tcPr>
            <w:tcW w:w="2814" w:type="dxa"/>
            <w:shd w:val="clear" w:color="auto" w:fill="auto"/>
          </w:tcPr>
          <w:p w:rsidR="0083534F" w:rsidRPr="009D0487" w:rsidRDefault="0083534F" w:rsidP="00EA7076">
            <w:pPr>
              <w:jc w:val="left"/>
              <w:rPr>
                <w:b/>
              </w:rPr>
            </w:pPr>
            <w:r w:rsidRPr="002D76E2">
              <w:rPr>
                <w:b/>
              </w:rPr>
              <w:t>[</w:t>
            </w:r>
            <w:r w:rsidRPr="002D76E2">
              <w:rPr>
                <w:b/>
                <w:i/>
              </w:rPr>
              <w:t>Minimum Available Investment</w:t>
            </w:r>
            <w:r w:rsidRPr="002D76E2">
              <w:rPr>
                <w:b/>
              </w:rPr>
              <w:t>:</w:t>
            </w:r>
          </w:p>
        </w:tc>
        <w:tc>
          <w:tcPr>
            <w:tcW w:w="6775" w:type="dxa"/>
            <w:shd w:val="clear" w:color="auto" w:fill="auto"/>
          </w:tcPr>
          <w:p w:rsidR="0083534F" w:rsidRDefault="0083534F" w:rsidP="007F6AB3">
            <w:r w:rsidRPr="002D76E2">
              <w:rPr>
                <w:i/>
              </w:rPr>
              <w:t>The minimum amount available for investment by the Investors must be $</w:t>
            </w:r>
            <w:r>
              <w:t>[</w:t>
            </w:r>
            <w:r w:rsidRPr="002D76E2">
              <w:rPr>
                <w:i/>
              </w:rPr>
              <w:t xml:space="preserve">                </w:t>
            </w:r>
            <w:r>
              <w:t>]]</w:t>
            </w:r>
            <w:r>
              <w:rPr>
                <w:rStyle w:val="FootnoteReference"/>
              </w:rPr>
              <w:footnoteReference w:id="2"/>
            </w:r>
            <w:r>
              <w:t>.</w:t>
            </w:r>
          </w:p>
          <w:p w:rsidR="0083534F" w:rsidRDefault="0083534F" w:rsidP="0083534F"/>
        </w:tc>
      </w:tr>
      <w:tr w:rsidR="0083534F" w:rsidTr="00EA7076">
        <w:tc>
          <w:tcPr>
            <w:tcW w:w="2814" w:type="dxa"/>
            <w:shd w:val="clear" w:color="auto" w:fill="auto"/>
          </w:tcPr>
          <w:p w:rsidR="0083534F" w:rsidRPr="009D0487" w:rsidRDefault="0083534F" w:rsidP="00EA7076">
            <w:pPr>
              <w:jc w:val="left"/>
              <w:rPr>
                <w:b/>
              </w:rPr>
            </w:pPr>
            <w:r w:rsidRPr="009D0487">
              <w:rPr>
                <w:b/>
              </w:rPr>
              <w:t>Investors:</w:t>
            </w:r>
          </w:p>
          <w:p w:rsidR="0083534F" w:rsidRPr="009D0487" w:rsidRDefault="0083534F" w:rsidP="00EA7076">
            <w:pPr>
              <w:jc w:val="left"/>
              <w:rPr>
                <w:b/>
              </w:rPr>
            </w:pPr>
          </w:p>
          <w:p w:rsidR="000F208D" w:rsidRDefault="000F208D" w:rsidP="00EA7076">
            <w:pPr>
              <w:jc w:val="left"/>
              <w:rPr>
                <w:b/>
              </w:rPr>
            </w:pPr>
          </w:p>
          <w:p w:rsidR="000F208D" w:rsidRDefault="000F208D" w:rsidP="00EA7076">
            <w:pPr>
              <w:jc w:val="left"/>
              <w:rPr>
                <w:b/>
              </w:rPr>
            </w:pPr>
          </w:p>
          <w:p w:rsidR="000F208D" w:rsidRDefault="000F208D" w:rsidP="00EA7076">
            <w:pPr>
              <w:jc w:val="left"/>
              <w:rPr>
                <w:b/>
              </w:rPr>
            </w:pPr>
          </w:p>
          <w:p w:rsidR="0083534F" w:rsidRPr="009D0487" w:rsidRDefault="0083534F" w:rsidP="00EA7076">
            <w:pPr>
              <w:jc w:val="left"/>
              <w:rPr>
                <w:b/>
              </w:rPr>
            </w:pPr>
            <w:r w:rsidRPr="009D0487">
              <w:rPr>
                <w:b/>
              </w:rPr>
              <w:t>Key People:</w:t>
            </w:r>
          </w:p>
        </w:tc>
        <w:tc>
          <w:tcPr>
            <w:tcW w:w="6775" w:type="dxa"/>
            <w:shd w:val="clear" w:color="auto" w:fill="auto"/>
          </w:tcPr>
          <w:p w:rsidR="0083534F" w:rsidRDefault="0083534F" w:rsidP="0083534F">
            <w:r>
              <w:t>[</w:t>
            </w:r>
            <w:r w:rsidRPr="002D76E2">
              <w:rPr>
                <w:b/>
                <w:i/>
              </w:rPr>
              <w:t>Insert</w:t>
            </w:r>
            <w:r>
              <w:t xml:space="preserve"> </w:t>
            </w:r>
            <w:r w:rsidRPr="002D76E2">
              <w:rPr>
                <w:b/>
                <w:i/>
              </w:rPr>
              <w:t xml:space="preserve">name(s) of </w:t>
            </w:r>
            <w:r w:rsidR="006C626C">
              <w:rPr>
                <w:b/>
                <w:i/>
              </w:rPr>
              <w:t>I</w:t>
            </w:r>
            <w:r w:rsidRPr="002D76E2">
              <w:rPr>
                <w:b/>
                <w:i/>
              </w:rPr>
              <w:t>nvestor(s)</w:t>
            </w:r>
            <w:r>
              <w:t xml:space="preserve">] </w:t>
            </w:r>
            <w:r w:rsidRPr="002D76E2">
              <w:rPr>
                <w:b/>
                <w:i/>
              </w:rPr>
              <w:t>or</w:t>
            </w:r>
            <w:r>
              <w:t xml:space="preserve"> [</w:t>
            </w:r>
            <w:r w:rsidRPr="002D76E2">
              <w:rPr>
                <w:i/>
              </w:rPr>
              <w:t xml:space="preserve">The persons identified in Appendix 2 </w:t>
            </w:r>
            <w:r>
              <w:t>[</w:t>
            </w:r>
            <w:r w:rsidRPr="002D76E2">
              <w:rPr>
                <w:i/>
              </w:rPr>
              <w:t xml:space="preserve">and other members of the </w:t>
            </w:r>
            <w:r>
              <w:t xml:space="preserve">[      ] </w:t>
            </w:r>
            <w:r w:rsidRPr="002D76E2">
              <w:rPr>
                <w:i/>
              </w:rPr>
              <w:t>investment syndicate who agree to participate in the Investment</w:t>
            </w:r>
            <w:r>
              <w:t>]</w:t>
            </w:r>
            <w:r>
              <w:rPr>
                <w:rStyle w:val="FootnoteReference"/>
              </w:rPr>
              <w:footnoteReference w:id="3"/>
            </w:r>
            <w:r>
              <w:t xml:space="preserve">] </w:t>
            </w:r>
            <w:r w:rsidR="006C626C">
              <w:t>[</w:t>
            </w:r>
            <w:r>
              <w:t>and NZVIF Investments Limited</w:t>
            </w:r>
            <w:r w:rsidR="006C626C">
              <w:t xml:space="preserve"> (</w:t>
            </w:r>
            <w:r w:rsidR="006C626C">
              <w:rPr>
                <w:b/>
              </w:rPr>
              <w:t>NZVIF</w:t>
            </w:r>
            <w:r w:rsidR="006C626C">
              <w:t>)]</w:t>
            </w:r>
            <w:r w:rsidRPr="002D76E2">
              <w:rPr>
                <w:i/>
              </w:rPr>
              <w:t xml:space="preserve"> </w:t>
            </w:r>
            <w:r>
              <w:t>(</w:t>
            </w:r>
            <w:r w:rsidRPr="002D76E2">
              <w:rPr>
                <w:b/>
              </w:rPr>
              <w:t>Investors</w:t>
            </w:r>
            <w:r>
              <w:t>)</w:t>
            </w:r>
            <w:r w:rsidRPr="002D76E2">
              <w:rPr>
                <w:i/>
              </w:rPr>
              <w:t>.</w:t>
            </w:r>
            <w:r>
              <w:t xml:space="preserve"> </w:t>
            </w:r>
          </w:p>
          <w:p w:rsidR="0083534F" w:rsidRDefault="0083534F" w:rsidP="00EA7076"/>
          <w:p w:rsidR="0083534F" w:rsidRDefault="0083534F" w:rsidP="00EA7076">
            <w:r>
              <w:lastRenderedPageBreak/>
              <w:t>[</w:t>
            </w:r>
            <w:r w:rsidRPr="009D0487">
              <w:rPr>
                <w:b/>
                <w:i/>
              </w:rPr>
              <w:t>Insert</w:t>
            </w:r>
            <w:r>
              <w:t xml:space="preserve"> </w:t>
            </w:r>
            <w:r w:rsidRPr="009D0487">
              <w:rPr>
                <w:b/>
                <w:i/>
              </w:rPr>
              <w:t>names of founder(s)/key people</w:t>
            </w:r>
            <w:r>
              <w:t>] (</w:t>
            </w:r>
            <w:r w:rsidRPr="009D0487">
              <w:rPr>
                <w:b/>
              </w:rPr>
              <w:t>Key People</w:t>
            </w:r>
            <w:r>
              <w:t>)</w:t>
            </w:r>
            <w:r>
              <w:rPr>
                <w:rStyle w:val="FootnoteReference"/>
              </w:rPr>
              <w:footnoteReference w:id="4"/>
            </w:r>
            <w:r>
              <w:t>.</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lastRenderedPageBreak/>
              <w:t>Pre-money valuation:</w:t>
            </w:r>
          </w:p>
        </w:tc>
        <w:tc>
          <w:tcPr>
            <w:tcW w:w="6775" w:type="dxa"/>
            <w:shd w:val="clear" w:color="auto" w:fill="auto"/>
          </w:tcPr>
          <w:p w:rsidR="0083534F" w:rsidRDefault="0083534F" w:rsidP="00EA7076">
            <w:r>
              <w:t xml:space="preserve">The investment is based on a pre-financing valuation </w:t>
            </w:r>
            <w:proofErr w:type="gramStart"/>
            <w:r>
              <w:t>of  $</w:t>
            </w:r>
            <w:proofErr w:type="gramEnd"/>
            <w:r>
              <w:t>[  ].</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t>Type of Shares:</w:t>
            </w:r>
          </w:p>
        </w:tc>
        <w:tc>
          <w:tcPr>
            <w:tcW w:w="6775" w:type="dxa"/>
            <w:shd w:val="clear" w:color="auto" w:fill="auto"/>
          </w:tcPr>
          <w:p w:rsidR="0083534F" w:rsidRDefault="0083534F" w:rsidP="00EA7076">
            <w:r w:rsidRPr="007F3364">
              <w:t>Ordinary</w:t>
            </w:r>
            <w:r>
              <w:t xml:space="preserve"> shares (</w:t>
            </w:r>
            <w:r w:rsidRPr="009D0487">
              <w:rPr>
                <w:b/>
              </w:rPr>
              <w:t>Shares</w:t>
            </w:r>
            <w:r>
              <w:t>).</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t>Issue Price:</w:t>
            </w:r>
          </w:p>
          <w:p w:rsidR="0083534F" w:rsidRPr="009D0487" w:rsidRDefault="0083534F" w:rsidP="00EA7076">
            <w:pPr>
              <w:jc w:val="left"/>
              <w:rPr>
                <w:b/>
              </w:rPr>
            </w:pPr>
          </w:p>
          <w:p w:rsidR="0083534F" w:rsidRPr="009D0487" w:rsidRDefault="0083534F" w:rsidP="00EA7076">
            <w:pPr>
              <w:jc w:val="left"/>
              <w:rPr>
                <w:b/>
              </w:rPr>
            </w:pPr>
            <w:r w:rsidRPr="009D0487">
              <w:rPr>
                <w:b/>
              </w:rPr>
              <w:t>Number of Shares:</w:t>
            </w: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r w:rsidRPr="009D0487">
              <w:rPr>
                <w:b/>
              </w:rPr>
              <w:t>Capital Structure:</w:t>
            </w:r>
          </w:p>
        </w:tc>
        <w:tc>
          <w:tcPr>
            <w:tcW w:w="6775" w:type="dxa"/>
            <w:shd w:val="clear" w:color="auto" w:fill="auto"/>
          </w:tcPr>
          <w:p w:rsidR="0083534F" w:rsidRDefault="0083534F" w:rsidP="00EA7076">
            <w:r>
              <w:t>$[  ] per Share.</w:t>
            </w:r>
          </w:p>
          <w:p w:rsidR="0083534F" w:rsidRDefault="0083534F" w:rsidP="00EA7076"/>
          <w:p w:rsidR="0083534F" w:rsidRDefault="0083534F" w:rsidP="00EA7076">
            <w:r>
              <w:t>[</w:t>
            </w:r>
            <w:r w:rsidRPr="009D0487">
              <w:rPr>
                <w:i/>
              </w:rPr>
              <w:t>Up to</w:t>
            </w:r>
            <w:r>
              <w:t>] [  ].</w:t>
            </w:r>
          </w:p>
          <w:p w:rsidR="0083534F" w:rsidRDefault="0083534F" w:rsidP="00EA7076"/>
          <w:p w:rsidR="0083534F" w:rsidRDefault="0083534F" w:rsidP="00EA7076"/>
          <w:p w:rsidR="0083534F" w:rsidRDefault="0083534F" w:rsidP="00EA7076">
            <w:r>
              <w:t>The capitalisation of the Company immediately prior to investment and after investment of the Investment Amount will be as set out in the table in Appendix 1 (</w:t>
            </w:r>
            <w:r w:rsidRPr="009D0487">
              <w:rPr>
                <w:b/>
              </w:rPr>
              <w:t>Capitalisation Table</w:t>
            </w:r>
            <w:r>
              <w:t xml:space="preserve">). </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t>Conditions Precedent:</w:t>
            </w:r>
          </w:p>
          <w:p w:rsidR="0083534F" w:rsidRPr="009D0487" w:rsidRDefault="0083534F" w:rsidP="00EA7076">
            <w:pPr>
              <w:jc w:val="left"/>
              <w:rPr>
                <w:b/>
              </w:rPr>
            </w:pPr>
            <w:r w:rsidRPr="009D0487">
              <w:rPr>
                <w:b/>
              </w:rPr>
              <w:t>(for Investors' benefit)</w:t>
            </w:r>
          </w:p>
          <w:p w:rsidR="0083534F" w:rsidRPr="009D0487" w:rsidRDefault="0083534F" w:rsidP="00EA7076">
            <w:pPr>
              <w:jc w:val="left"/>
              <w:rPr>
                <w:b/>
              </w:rPr>
            </w:pPr>
          </w:p>
        </w:tc>
        <w:tc>
          <w:tcPr>
            <w:tcW w:w="6775" w:type="dxa"/>
            <w:shd w:val="clear" w:color="auto" w:fill="auto"/>
          </w:tcPr>
          <w:p w:rsidR="0083534F" w:rsidRDefault="0083534F" w:rsidP="00D42874">
            <w:pPr>
              <w:numPr>
                <w:ilvl w:val="0"/>
                <w:numId w:val="6"/>
              </w:numPr>
            </w:pPr>
            <w:r>
              <w:t>Due diligence being completed to the satisfaction of the Investors.</w:t>
            </w:r>
          </w:p>
          <w:p w:rsidR="0083534F" w:rsidRDefault="0083534F" w:rsidP="00EA7076"/>
          <w:p w:rsidR="0083534F" w:rsidRDefault="0083534F" w:rsidP="00D42874">
            <w:pPr>
              <w:numPr>
                <w:ilvl w:val="0"/>
                <w:numId w:val="5"/>
              </w:numPr>
            </w:pPr>
            <w:r>
              <w:t>Agreement to a business plan which comprises an agreed budget (</w:t>
            </w:r>
            <w:r w:rsidRPr="009D0487">
              <w:rPr>
                <w:b/>
              </w:rPr>
              <w:t>Agreed Business Plan</w:t>
            </w:r>
            <w:r>
              <w:t xml:space="preserve">). </w:t>
            </w:r>
          </w:p>
          <w:p w:rsidR="0083534F" w:rsidRDefault="0083534F" w:rsidP="00EA7076"/>
          <w:p w:rsidR="0083534F" w:rsidRDefault="0083534F" w:rsidP="00D42874">
            <w:pPr>
              <w:numPr>
                <w:ilvl w:val="0"/>
                <w:numId w:val="5"/>
              </w:numPr>
            </w:pPr>
            <w:r>
              <w:t>[</w:t>
            </w:r>
            <w:r w:rsidRPr="009D0487">
              <w:rPr>
                <w:i/>
              </w:rPr>
              <w:t>Agreement on milestones which must be achieved for disbursement of post Completion Date tranches of the Investment Amount (</w:t>
            </w:r>
            <w:r w:rsidRPr="009D0487">
              <w:rPr>
                <w:b/>
                <w:i/>
              </w:rPr>
              <w:t>Milestones</w:t>
            </w:r>
            <w:r w:rsidRPr="009D0487">
              <w:rPr>
                <w:i/>
              </w:rPr>
              <w:t>)</w:t>
            </w:r>
            <w:r>
              <w:t>].</w:t>
            </w:r>
          </w:p>
          <w:p w:rsidR="0083534F" w:rsidRDefault="0083534F" w:rsidP="00EA7076"/>
          <w:p w:rsidR="0083534F" w:rsidRDefault="0083534F" w:rsidP="00D42874">
            <w:pPr>
              <w:numPr>
                <w:ilvl w:val="0"/>
                <w:numId w:val="2"/>
              </w:numPr>
            </w:pPr>
            <w:r>
              <w:t>Final approval of each Investor's [</w:t>
            </w:r>
            <w:r w:rsidRPr="009D0487">
              <w:rPr>
                <w:i/>
              </w:rPr>
              <w:t>board</w:t>
            </w:r>
            <w:r>
              <w:t>] [</w:t>
            </w:r>
            <w:r w:rsidRPr="009D0487">
              <w:rPr>
                <w:b/>
                <w:i/>
              </w:rPr>
              <w:t>or</w:t>
            </w:r>
            <w:r>
              <w:t>] [</w:t>
            </w:r>
            <w:r w:rsidRPr="009D0487">
              <w:rPr>
                <w:i/>
              </w:rPr>
              <w:t>Investment Committee</w:t>
            </w:r>
            <w:proofErr w:type="gramStart"/>
            <w:r>
              <w:t>](</w:t>
            </w:r>
            <w:proofErr w:type="gramEnd"/>
            <w:r>
              <w:t>as applicable).</w:t>
            </w:r>
          </w:p>
          <w:p w:rsidR="0083534F" w:rsidRDefault="0083534F" w:rsidP="00EA7076"/>
          <w:p w:rsidR="0083534F" w:rsidRDefault="0083534F" w:rsidP="00D42874">
            <w:pPr>
              <w:numPr>
                <w:ilvl w:val="0"/>
                <w:numId w:val="2"/>
              </w:numPr>
            </w:pPr>
            <w:r>
              <w:t>Completion of the Investment Agreement and all existing holders of shares or options in the Company agreeing it supersedes any existing agreements between them.</w:t>
            </w:r>
          </w:p>
          <w:p w:rsidR="0083534F" w:rsidRDefault="0083534F" w:rsidP="00EA7076"/>
          <w:p w:rsidR="0083534F" w:rsidRDefault="0083534F" w:rsidP="00D42874">
            <w:pPr>
              <w:numPr>
                <w:ilvl w:val="0"/>
                <w:numId w:val="2"/>
              </w:numPr>
            </w:pPr>
            <w:r>
              <w:t>Capitalisation of all outstanding loans [</w:t>
            </w:r>
            <w:r w:rsidRPr="009D0487">
              <w:rPr>
                <w:i/>
              </w:rPr>
              <w:t xml:space="preserve">other than the loan(s) of $    from </w:t>
            </w:r>
            <w:r>
              <w:t>[  ]</w:t>
            </w:r>
            <w:proofErr w:type="gramStart"/>
            <w:r>
              <w:t>]  and</w:t>
            </w:r>
            <w:proofErr w:type="gramEnd"/>
            <w:r>
              <w:t xml:space="preserve"> that capitalisation resulting in the pre-investment capitalisation shown in the Capitalisation Table.</w:t>
            </w:r>
          </w:p>
          <w:p w:rsidR="0083534F" w:rsidRDefault="0083534F" w:rsidP="00EA7076"/>
          <w:p w:rsidR="0083534F" w:rsidRDefault="0083534F" w:rsidP="00D42874">
            <w:pPr>
              <w:numPr>
                <w:ilvl w:val="0"/>
                <w:numId w:val="2"/>
              </w:numPr>
            </w:pPr>
            <w:r>
              <w:t>Completion of employment or contractor agreements(s) with the [</w:t>
            </w:r>
            <w:r w:rsidRPr="009D0487">
              <w:rPr>
                <w:i/>
              </w:rPr>
              <w:t>Key People</w:t>
            </w:r>
            <w:proofErr w:type="gramStart"/>
            <w:r>
              <w:t>][</w:t>
            </w:r>
            <w:proofErr w:type="gramEnd"/>
            <w:r w:rsidRPr="009D0487">
              <w:rPr>
                <w:b/>
                <w:i/>
              </w:rPr>
              <w:t>or</w:t>
            </w:r>
            <w:r>
              <w:t xml:space="preserve">][[  ] </w:t>
            </w:r>
            <w:r w:rsidRPr="009D0487">
              <w:rPr>
                <w:i/>
              </w:rPr>
              <w:t>and</w:t>
            </w:r>
            <w:r>
              <w:t xml:space="preserve"> [  ]] on terms acceptable to the Investors (and which include suitable non compete covenants).</w:t>
            </w:r>
          </w:p>
          <w:p w:rsidR="0083534F" w:rsidRDefault="0083534F" w:rsidP="00EA7076"/>
          <w:p w:rsidR="0083534F" w:rsidRDefault="0083534F" w:rsidP="00D42874">
            <w:pPr>
              <w:numPr>
                <w:ilvl w:val="0"/>
                <w:numId w:val="3"/>
              </w:numPr>
            </w:pPr>
            <w:r>
              <w:t>All relevant officers, consultants and contractors (including all Key People) assigning (in a form acceptable to the Investors) all intellectual property linked to the Business or proposed future business.</w:t>
            </w:r>
          </w:p>
          <w:p w:rsidR="0083534F" w:rsidRDefault="0083534F" w:rsidP="00EA7076"/>
          <w:p w:rsidR="0083534F" w:rsidRDefault="0083534F" w:rsidP="00D42874">
            <w:pPr>
              <w:numPr>
                <w:ilvl w:val="0"/>
                <w:numId w:val="3"/>
              </w:numPr>
            </w:pPr>
            <w:r>
              <w:t>Agreement on the identity of [</w:t>
            </w:r>
            <w:r w:rsidRPr="009D0487">
              <w:rPr>
                <w:b/>
                <w:i/>
              </w:rPr>
              <w:t>insert</w:t>
            </w:r>
            <w:r>
              <w:t xml:space="preserve"> </w:t>
            </w:r>
            <w:r w:rsidRPr="009D0487">
              <w:rPr>
                <w:b/>
                <w:i/>
              </w:rPr>
              <w:t>number</w:t>
            </w:r>
            <w:r>
              <w:t>] [</w:t>
            </w:r>
            <w:r w:rsidRPr="009D0487">
              <w:rPr>
                <w:i/>
              </w:rPr>
              <w:t>an</w:t>
            </w:r>
            <w:r>
              <w:t>] [</w:t>
            </w:r>
            <w:r w:rsidRPr="009D0487">
              <w:rPr>
                <w:i/>
              </w:rPr>
              <w:t>independent director</w:t>
            </w:r>
            <w:r>
              <w:t>[</w:t>
            </w:r>
            <w:r w:rsidRPr="009D0487">
              <w:rPr>
                <w:i/>
              </w:rPr>
              <w:t>s</w:t>
            </w:r>
            <w:r>
              <w:t>] [</w:t>
            </w:r>
            <w:r w:rsidRPr="009D0487">
              <w:rPr>
                <w:i/>
              </w:rPr>
              <w:t>and</w:t>
            </w:r>
            <w:r>
              <w:t>] [</w:t>
            </w:r>
            <w:r w:rsidRPr="009D0487">
              <w:rPr>
                <w:i/>
              </w:rPr>
              <w:t>a chairman</w:t>
            </w:r>
            <w:r>
              <w:t>].</w:t>
            </w:r>
          </w:p>
          <w:p w:rsidR="0083534F" w:rsidRDefault="0083534F" w:rsidP="00EA7076"/>
          <w:p w:rsidR="0083534F" w:rsidRDefault="0083534F" w:rsidP="00D42874">
            <w:pPr>
              <w:numPr>
                <w:ilvl w:val="0"/>
                <w:numId w:val="3"/>
              </w:numPr>
            </w:pPr>
            <w:r>
              <w:t>Agreement on the parameters of an employee share option plan for the key officers, employees and contractors of the Company (including the Key People) to purchase up to  [  %] of the Company's post money capital (</w:t>
            </w:r>
            <w:r w:rsidRPr="009D0487">
              <w:rPr>
                <w:b/>
              </w:rPr>
              <w:t>ESOP</w:t>
            </w:r>
            <w:r>
              <w:t>).</w:t>
            </w:r>
          </w:p>
          <w:p w:rsidR="0083534F" w:rsidRDefault="0083534F" w:rsidP="00EA7076"/>
          <w:p w:rsidR="0083534F" w:rsidRDefault="0083534F" w:rsidP="00D42874">
            <w:pPr>
              <w:numPr>
                <w:ilvl w:val="0"/>
                <w:numId w:val="3"/>
              </w:numPr>
            </w:pPr>
            <w:r>
              <w:t>Evidence that any third party consents or other authorisations required to complete the investment have been obtained.</w:t>
            </w:r>
          </w:p>
          <w:p w:rsidR="0083534F" w:rsidRDefault="0083534F" w:rsidP="00EA7076"/>
          <w:p w:rsidR="0083534F" w:rsidRDefault="0083534F" w:rsidP="00D42874">
            <w:pPr>
              <w:numPr>
                <w:ilvl w:val="0"/>
                <w:numId w:val="3"/>
              </w:numPr>
            </w:pPr>
            <w:r>
              <w:lastRenderedPageBreak/>
              <w:t>[</w:t>
            </w:r>
            <w:r w:rsidRPr="009D0487">
              <w:rPr>
                <w:b/>
                <w:i/>
              </w:rPr>
              <w:t>Insert any other specific conditions precedent</w:t>
            </w:r>
            <w:r>
              <w:rPr>
                <w:rStyle w:val="FootnoteReference"/>
              </w:rPr>
              <w:footnoteReference w:id="5"/>
            </w:r>
            <w:r>
              <w:t>].</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lastRenderedPageBreak/>
              <w:t>Anticipated Completion: Date:</w:t>
            </w:r>
          </w:p>
          <w:p w:rsidR="0083534F" w:rsidRPr="009D0487" w:rsidRDefault="0083534F" w:rsidP="00EA7076">
            <w:pPr>
              <w:jc w:val="left"/>
              <w:rPr>
                <w:b/>
              </w:rPr>
            </w:pPr>
          </w:p>
        </w:tc>
        <w:tc>
          <w:tcPr>
            <w:tcW w:w="6775" w:type="dxa"/>
            <w:shd w:val="clear" w:color="auto" w:fill="auto"/>
          </w:tcPr>
          <w:p w:rsidR="0083534F" w:rsidRDefault="0083534F" w:rsidP="00EA7076">
            <w:r>
              <w:t>[</w:t>
            </w:r>
            <w:r w:rsidRPr="009D0487">
              <w:rPr>
                <w:b/>
                <w:i/>
              </w:rPr>
              <w:t>Insert date</w:t>
            </w:r>
            <w:r>
              <w:t>] or [</w:t>
            </w:r>
            <w:r w:rsidRPr="009D0487">
              <w:rPr>
                <w:i/>
              </w:rPr>
              <w:t>5</w:t>
            </w:r>
            <w:r>
              <w:t xml:space="preserve">] Business Days after satisfaction of all conditions precedent in the Investment Agreement (actual settlement date being referred to as </w:t>
            </w:r>
            <w:r w:rsidRPr="009D0487">
              <w:rPr>
                <w:b/>
              </w:rPr>
              <w:t>Completion Date</w:t>
            </w:r>
            <w:r>
              <w:t>).</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t>Disbursement of Investment Amount:</w:t>
            </w:r>
          </w:p>
          <w:p w:rsidR="0083534F" w:rsidRPr="009D0487" w:rsidRDefault="0083534F" w:rsidP="00EA7076">
            <w:pPr>
              <w:spacing w:before="120"/>
              <w:jc w:val="left"/>
              <w:rPr>
                <w:b/>
              </w:rPr>
            </w:pPr>
          </w:p>
        </w:tc>
        <w:tc>
          <w:tcPr>
            <w:tcW w:w="6775" w:type="dxa"/>
            <w:shd w:val="clear" w:color="auto" w:fill="auto"/>
          </w:tcPr>
          <w:p w:rsidR="0083534F" w:rsidRDefault="0083534F" w:rsidP="00EA7076">
            <w:pPr>
              <w:jc w:val="left"/>
            </w:pPr>
            <w:r>
              <w:t>The Investment Amount will be subscribed for Shares  [</w:t>
            </w:r>
            <w:r w:rsidRPr="009D0487">
              <w:rPr>
                <w:i/>
              </w:rPr>
              <w:t>in</w:t>
            </w:r>
            <w:r>
              <w:t xml:space="preserve"> </w:t>
            </w:r>
            <w:r w:rsidRPr="009D0487">
              <w:rPr>
                <w:i/>
              </w:rPr>
              <w:t>one sum on the Completion Date</w:t>
            </w:r>
            <w:r>
              <w:t>]</w:t>
            </w:r>
            <w:r w:rsidRPr="009D0487">
              <w:rPr>
                <w:i/>
              </w:rPr>
              <w:t xml:space="preserve"> </w:t>
            </w:r>
            <w:r>
              <w:t>[</w:t>
            </w:r>
            <w:r w:rsidRPr="009D0487">
              <w:rPr>
                <w:b/>
                <w:i/>
              </w:rPr>
              <w:t>or</w:t>
            </w:r>
            <w:r>
              <w:t>]</w:t>
            </w:r>
            <w:r w:rsidRPr="009D0487">
              <w:rPr>
                <w:i/>
              </w:rPr>
              <w:t xml:space="preserve"> </w:t>
            </w:r>
            <w:r>
              <w:t>[</w:t>
            </w:r>
            <w:r w:rsidRPr="009D0487">
              <w:rPr>
                <w:i/>
              </w:rPr>
              <w:t>in</w:t>
            </w:r>
            <w:r>
              <w:t xml:space="preserve"> </w:t>
            </w:r>
            <w:r w:rsidRPr="009D0487">
              <w:rPr>
                <w:i/>
              </w:rPr>
              <w:t>the instalments as specified in the Agreed Business Plan (and applied solely to expenditure as specified in the Agreed Business Plan or otherwise approved by the Investors)</w:t>
            </w:r>
            <w:r>
              <w:t>] [</w:t>
            </w:r>
            <w:r w:rsidRPr="009D0487">
              <w:rPr>
                <w:b/>
                <w:i/>
              </w:rPr>
              <w:t>or</w:t>
            </w:r>
            <w:r>
              <w:t>]</w:t>
            </w:r>
            <w:r w:rsidRPr="009D0487">
              <w:rPr>
                <w:i/>
              </w:rPr>
              <w:t xml:space="preserve"> </w:t>
            </w:r>
            <w:r>
              <w:t>[</w:t>
            </w:r>
            <w:r w:rsidRPr="009D0487">
              <w:rPr>
                <w:i/>
              </w:rPr>
              <w:t>as follows</w:t>
            </w:r>
            <w:r>
              <w:t>:</w:t>
            </w:r>
          </w:p>
          <w:p w:rsidR="0083534F" w:rsidRDefault="0083534F" w:rsidP="00EA7076"/>
          <w:p w:rsidR="0083534F" w:rsidRDefault="0083534F" w:rsidP="00D42874">
            <w:pPr>
              <w:numPr>
                <w:ilvl w:val="0"/>
                <w:numId w:val="4"/>
              </w:numPr>
            </w:pPr>
            <w:r>
              <w:t>$ [</w:t>
            </w:r>
            <w:r w:rsidRPr="009D0487">
              <w:rPr>
                <w:i/>
              </w:rPr>
              <w:t xml:space="preserve">  </w:t>
            </w:r>
            <w:r>
              <w:t>]</w:t>
            </w:r>
            <w:r w:rsidRPr="009D0487">
              <w:rPr>
                <w:i/>
              </w:rPr>
              <w:t xml:space="preserve"> on the Completion Date</w:t>
            </w:r>
            <w:r>
              <w:t>;</w:t>
            </w:r>
          </w:p>
          <w:p w:rsidR="0083534F" w:rsidRDefault="0083534F" w:rsidP="00EA7076"/>
          <w:p w:rsidR="0083534F" w:rsidRDefault="0083534F" w:rsidP="00D42874">
            <w:pPr>
              <w:numPr>
                <w:ilvl w:val="0"/>
                <w:numId w:val="4"/>
              </w:numPr>
            </w:pPr>
            <w:r>
              <w:t>$ [</w:t>
            </w:r>
            <w:r w:rsidRPr="009D0487">
              <w:rPr>
                <w:i/>
              </w:rPr>
              <w:t xml:space="preserve">  </w:t>
            </w:r>
            <w:r>
              <w:t>]</w:t>
            </w:r>
            <w:r w:rsidRPr="009D0487">
              <w:rPr>
                <w:i/>
              </w:rPr>
              <w:t xml:space="preserve"> when</w:t>
            </w:r>
            <w:r>
              <w:t xml:space="preserve"> [</w:t>
            </w:r>
            <w:r w:rsidRPr="009D0487">
              <w:rPr>
                <w:b/>
                <w:i/>
              </w:rPr>
              <w:t>insert Milestone etc</w:t>
            </w:r>
            <w:r>
              <w:t xml:space="preserve">]] </w:t>
            </w:r>
          </w:p>
          <w:p w:rsidR="0083534F" w:rsidRDefault="0083534F" w:rsidP="00EA7076"/>
          <w:p w:rsidR="0083534F" w:rsidRDefault="0083534F" w:rsidP="00EA7076">
            <w:r>
              <w:t>[</w:t>
            </w:r>
            <w:proofErr w:type="gramStart"/>
            <w:r w:rsidRPr="009D0487">
              <w:rPr>
                <w:i/>
              </w:rPr>
              <w:t>provided</w:t>
            </w:r>
            <w:proofErr w:type="gramEnd"/>
            <w:r w:rsidRPr="009D0487">
              <w:rPr>
                <w:i/>
              </w:rPr>
              <w:t xml:space="preserve"> each instalment will be at the Investors' option if a Milestone due by the relevant date has not been achieved</w:t>
            </w:r>
            <w:r>
              <w:t>]</w:t>
            </w:r>
            <w:r>
              <w:rPr>
                <w:rStyle w:val="FootnoteReference"/>
              </w:rPr>
              <w:footnoteReference w:id="6"/>
            </w:r>
            <w:r>
              <w:t>.</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t>Anti-dilution</w:t>
            </w:r>
            <w:r>
              <w:rPr>
                <w:rStyle w:val="FootnoteReference"/>
                <w:b/>
              </w:rPr>
              <w:footnoteReference w:id="7"/>
            </w:r>
            <w:r w:rsidRPr="009D0487">
              <w:rPr>
                <w:b/>
              </w:rPr>
              <w:t xml:space="preserve">: </w:t>
            </w:r>
          </w:p>
          <w:p w:rsidR="0083534F" w:rsidRPr="009D0487" w:rsidRDefault="0083534F" w:rsidP="00EA7076">
            <w:pPr>
              <w:jc w:val="left"/>
              <w:rPr>
                <w:b/>
              </w:rPr>
            </w:pPr>
          </w:p>
          <w:p w:rsidR="0083534F" w:rsidRPr="009D0487" w:rsidRDefault="0083534F" w:rsidP="00EA7076">
            <w:pPr>
              <w:jc w:val="left"/>
              <w:rPr>
                <w:b/>
              </w:rPr>
            </w:pPr>
          </w:p>
        </w:tc>
        <w:tc>
          <w:tcPr>
            <w:tcW w:w="6775" w:type="dxa"/>
            <w:shd w:val="clear" w:color="auto" w:fill="auto"/>
          </w:tcPr>
          <w:p w:rsidR="0083534F" w:rsidRDefault="0083534F" w:rsidP="005A4D96">
            <w:r>
              <w:t>[</w:t>
            </w:r>
            <w:r>
              <w:rPr>
                <w:b/>
                <w:i/>
              </w:rPr>
              <w:t>Narrow-based weighted average</w:t>
            </w:r>
            <w:r>
              <w:t xml:space="preserve">]: </w:t>
            </w:r>
            <w:r>
              <w:rPr>
                <w:i/>
              </w:rPr>
              <w:t>T</w:t>
            </w:r>
            <w:r w:rsidRPr="00EA7076">
              <w:rPr>
                <w:i/>
              </w:rPr>
              <w:t>he number of Shares held by the Investors will be increased (by the issue of further shares at nominal consideration to the Investors) on a narrow-based weighted average basis if any new shares are issued [in the [</w:t>
            </w:r>
            <w:r w:rsidRPr="0032475B">
              <w:rPr>
                <w:i/>
              </w:rPr>
              <w:t>X</w:t>
            </w:r>
            <w:r w:rsidRPr="00EA7076">
              <w:rPr>
                <w:i/>
              </w:rPr>
              <w:t>] years after Completion] at a price less than the issue price for the Shares [(other than pursuant to an approved ESOP)</w:t>
            </w:r>
            <w:r w:rsidRPr="0032475B">
              <w:t>]</w:t>
            </w:r>
          </w:p>
          <w:p w:rsidR="0083534F" w:rsidRDefault="0083534F" w:rsidP="005A4D96"/>
          <w:p w:rsidR="0083534F" w:rsidRDefault="0083534F" w:rsidP="005A4D96">
            <w:pPr>
              <w:rPr>
                <w:i/>
              </w:rPr>
            </w:pPr>
            <w:r>
              <w:t>[</w:t>
            </w:r>
            <w:r w:rsidRPr="00EA7076">
              <w:rPr>
                <w:b/>
                <w:i/>
              </w:rPr>
              <w:t>Full ratchet</w:t>
            </w:r>
            <w:r w:rsidRPr="00EA7076">
              <w:t>]</w:t>
            </w:r>
            <w:r w:rsidRPr="00EA7076">
              <w:rPr>
                <w:b/>
                <w:i/>
              </w:rPr>
              <w:t>:</w:t>
            </w:r>
            <w:r>
              <w:t xml:space="preserve"> </w:t>
            </w:r>
            <w:r w:rsidRPr="00EA7076">
              <w:rPr>
                <w:i/>
              </w:rPr>
              <w:t>T</w:t>
            </w:r>
            <w:r w:rsidRPr="00105FCB">
              <w:rPr>
                <w:i/>
              </w:rPr>
              <w:t xml:space="preserve">he number of Shares held by the Investors will be increased (by the issue of further shares at nominal consideration to the Investors) on a </w:t>
            </w:r>
            <w:r>
              <w:rPr>
                <w:i/>
              </w:rPr>
              <w:t>full ratchet</w:t>
            </w:r>
            <w:r w:rsidRPr="00105FCB">
              <w:rPr>
                <w:i/>
              </w:rPr>
              <w:t xml:space="preserve"> weighted average basis if any new shares are issued [in the [X] years after Completion] at a price less than the issue price for the Shares [(other than pursuant to an approved ESOP)</w:t>
            </w:r>
            <w:r w:rsidRPr="00EA7076">
              <w:t>]</w:t>
            </w:r>
          </w:p>
          <w:p w:rsidR="0083534F" w:rsidRDefault="0083534F"/>
        </w:tc>
      </w:tr>
      <w:tr w:rsidR="0083534F" w:rsidTr="00EA7076">
        <w:tc>
          <w:tcPr>
            <w:tcW w:w="2814" w:type="dxa"/>
            <w:shd w:val="clear" w:color="auto" w:fill="auto"/>
          </w:tcPr>
          <w:p w:rsidR="0083534F" w:rsidRPr="009D0487" w:rsidRDefault="0083534F" w:rsidP="00EA7076">
            <w:pPr>
              <w:jc w:val="left"/>
              <w:rPr>
                <w:b/>
              </w:rPr>
            </w:pPr>
            <w:r w:rsidRPr="009D0487">
              <w:rPr>
                <w:b/>
              </w:rPr>
              <w:t>Board:</w:t>
            </w:r>
          </w:p>
        </w:tc>
        <w:tc>
          <w:tcPr>
            <w:tcW w:w="6775" w:type="dxa"/>
            <w:shd w:val="clear" w:color="auto" w:fill="auto"/>
          </w:tcPr>
          <w:p w:rsidR="0083534F" w:rsidRDefault="0083534F" w:rsidP="00EA7076">
            <w:pPr>
              <w:jc w:val="left"/>
            </w:pPr>
            <w:r>
              <w:t>The Board will initially consist of:</w:t>
            </w:r>
          </w:p>
          <w:p w:rsidR="0083534F" w:rsidRDefault="0083534F" w:rsidP="00EA7076"/>
          <w:p w:rsidR="0083534F" w:rsidRDefault="0083534F" w:rsidP="00EA7076">
            <w:r>
              <w:t>Chairperson [(</w:t>
            </w:r>
            <w:r w:rsidRPr="009D0487">
              <w:rPr>
                <w:i/>
              </w:rPr>
              <w:t>no casting vote</w:t>
            </w:r>
            <w:r>
              <w:t xml:space="preserve">)] </w:t>
            </w:r>
          </w:p>
          <w:p w:rsidR="0083534F" w:rsidRDefault="0083534F" w:rsidP="00EA7076"/>
          <w:p w:rsidR="0083534F" w:rsidRDefault="0083534F" w:rsidP="00EA7076">
            <w:r>
              <w:t>Investor Director[</w:t>
            </w:r>
            <w:r w:rsidRPr="009D0487">
              <w:rPr>
                <w:i/>
              </w:rPr>
              <w:t>s</w:t>
            </w:r>
            <w:r>
              <w:t xml:space="preserve">]                      </w:t>
            </w:r>
            <w:r>
              <w:tab/>
              <w:t>[  ]</w:t>
            </w:r>
          </w:p>
          <w:p w:rsidR="0083534F" w:rsidRDefault="0083534F" w:rsidP="00EA7076"/>
          <w:p w:rsidR="0083534F" w:rsidRDefault="0083534F" w:rsidP="00EA7076">
            <w:r>
              <w:t>Other Shareholders' Director[</w:t>
            </w:r>
            <w:r w:rsidRPr="009D0487">
              <w:rPr>
                <w:i/>
              </w:rPr>
              <w:t>s</w:t>
            </w:r>
            <w:r>
              <w:t xml:space="preserve">]   </w:t>
            </w:r>
            <w:r>
              <w:tab/>
              <w:t>[  ]</w:t>
            </w:r>
          </w:p>
          <w:p w:rsidR="0083534F" w:rsidRDefault="0083534F" w:rsidP="00EA7076"/>
          <w:p w:rsidR="0083534F" w:rsidRDefault="0083534F" w:rsidP="00EA7076">
            <w:r>
              <w:t>[</w:t>
            </w:r>
            <w:r w:rsidRPr="009D0487">
              <w:rPr>
                <w:i/>
              </w:rPr>
              <w:t>Independent Director</w:t>
            </w:r>
            <w:r>
              <w:t>[</w:t>
            </w:r>
            <w:r w:rsidRPr="009D0487">
              <w:rPr>
                <w:i/>
              </w:rPr>
              <w:t>s</w:t>
            </w:r>
            <w:r>
              <w:t>]]</w:t>
            </w:r>
            <w:r>
              <w:tab/>
            </w:r>
            <w:r>
              <w:tab/>
              <w:t>[  ]</w:t>
            </w:r>
          </w:p>
          <w:p w:rsidR="0083534F" w:rsidRDefault="0083534F" w:rsidP="00EA7076"/>
          <w:p w:rsidR="0083534F" w:rsidRDefault="0083534F" w:rsidP="00EA7076">
            <w:r>
              <w:t>The Board will meet [</w:t>
            </w:r>
            <w:r w:rsidRPr="009D0487">
              <w:rPr>
                <w:i/>
              </w:rPr>
              <w:t>monthly</w:t>
            </w:r>
            <w:r>
              <w:t>][</w:t>
            </w:r>
            <w:r w:rsidRPr="009D0487">
              <w:rPr>
                <w:i/>
              </w:rPr>
              <w:t>bi-monthly</w:t>
            </w:r>
            <w:r>
              <w:t>][</w:t>
            </w:r>
            <w:r w:rsidRPr="009D0487">
              <w:rPr>
                <w:i/>
              </w:rPr>
              <w:t>six weekly</w:t>
            </w:r>
            <w:r>
              <w:t>]</w:t>
            </w:r>
          </w:p>
          <w:p w:rsidR="0083534F" w:rsidRDefault="0083534F" w:rsidP="00EA7076"/>
          <w:p w:rsidR="0083534F" w:rsidRPr="009D0487" w:rsidRDefault="0083534F" w:rsidP="00EA7076">
            <w:pPr>
              <w:rPr>
                <w:b/>
              </w:rPr>
            </w:pPr>
            <w:r>
              <w:t>[</w:t>
            </w:r>
            <w:r w:rsidRPr="009D0487">
              <w:rPr>
                <w:i/>
              </w:rPr>
              <w:t>The Chairman will be paid $</w:t>
            </w:r>
            <w:r>
              <w:t>[  ]</w:t>
            </w:r>
            <w:r w:rsidRPr="009D0487">
              <w:rPr>
                <w:i/>
              </w:rPr>
              <w:t xml:space="preserve"> per annum/meeting</w:t>
            </w:r>
            <w:r>
              <w:t>]</w:t>
            </w:r>
            <w:r w:rsidRPr="009D0487">
              <w:rPr>
                <w:i/>
              </w:rPr>
              <w:t xml:space="preserve">, </w:t>
            </w:r>
            <w:r>
              <w:t>[</w:t>
            </w:r>
            <w:r w:rsidRPr="009D0487">
              <w:rPr>
                <w:i/>
              </w:rPr>
              <w:t>any independent directors will be paid $</w:t>
            </w:r>
            <w:r>
              <w:t>[  ]</w:t>
            </w:r>
            <w:r w:rsidRPr="009D0487">
              <w:rPr>
                <w:i/>
              </w:rPr>
              <w:t xml:space="preserve"> per </w:t>
            </w:r>
            <w:r>
              <w:t>[</w:t>
            </w:r>
            <w:r w:rsidRPr="009D0487">
              <w:rPr>
                <w:i/>
              </w:rPr>
              <w:t>annum/meeting</w:t>
            </w:r>
            <w:r>
              <w:t>]</w:t>
            </w:r>
            <w:r w:rsidRPr="009D0487">
              <w:rPr>
                <w:i/>
              </w:rPr>
              <w:t xml:space="preserve"> and</w:t>
            </w:r>
            <w:r>
              <w:t>]</w:t>
            </w:r>
            <w:r w:rsidRPr="009D0487">
              <w:rPr>
                <w:i/>
              </w:rPr>
              <w:t xml:space="preserve"> </w:t>
            </w:r>
            <w:r>
              <w:t>[</w:t>
            </w:r>
            <w:r w:rsidRPr="009D0487">
              <w:rPr>
                <w:i/>
              </w:rPr>
              <w:t xml:space="preserve">the </w:t>
            </w:r>
            <w:r>
              <w:t>[</w:t>
            </w:r>
            <w:r w:rsidRPr="009D0487">
              <w:rPr>
                <w:i/>
              </w:rPr>
              <w:t>Investor</w:t>
            </w:r>
            <w:r>
              <w:t>]</w:t>
            </w:r>
            <w:r w:rsidRPr="009D0487">
              <w:rPr>
                <w:i/>
              </w:rPr>
              <w:t xml:space="preserve"> </w:t>
            </w:r>
            <w:r>
              <w:t>[</w:t>
            </w:r>
            <w:r w:rsidRPr="009D0487">
              <w:rPr>
                <w:i/>
              </w:rPr>
              <w:t>other</w:t>
            </w:r>
            <w:r>
              <w:t>]</w:t>
            </w:r>
            <w:r w:rsidRPr="009D0487">
              <w:rPr>
                <w:i/>
              </w:rPr>
              <w:t xml:space="preserve"> directors will be paid $</w:t>
            </w:r>
            <w:r>
              <w:t>[  ]</w:t>
            </w:r>
            <w:r w:rsidRPr="009D0487">
              <w:rPr>
                <w:i/>
              </w:rPr>
              <w:t xml:space="preserve"> per </w:t>
            </w:r>
            <w:r>
              <w:t>[</w:t>
            </w:r>
            <w:r w:rsidRPr="009D0487">
              <w:rPr>
                <w:i/>
              </w:rPr>
              <w:t>annum/meeting</w:t>
            </w:r>
            <w:r>
              <w:t>]</w:t>
            </w:r>
            <w:r>
              <w:rPr>
                <w:rStyle w:val="FootnoteReference"/>
              </w:rPr>
              <w:footnoteReference w:id="8"/>
            </w:r>
            <w:r w:rsidRPr="009D0487">
              <w:rPr>
                <w:i/>
              </w:rPr>
              <w:t xml:space="preserve"> </w:t>
            </w:r>
            <w:r>
              <w:t>[</w:t>
            </w:r>
            <w:r w:rsidRPr="009D0487">
              <w:rPr>
                <w:i/>
              </w:rPr>
              <w:t>but otherwise attendance at Board meetings will not be remunerated</w:t>
            </w:r>
            <w:r>
              <w:t>].</w:t>
            </w:r>
            <w:r w:rsidRPr="009D0487">
              <w:rPr>
                <w:b/>
              </w:rPr>
              <w:t xml:space="preserve"> </w:t>
            </w:r>
          </w:p>
          <w:p w:rsidR="0083534F" w:rsidRPr="009D0487" w:rsidRDefault="0083534F" w:rsidP="00EA7076">
            <w:pPr>
              <w:rPr>
                <w:b/>
              </w:rPr>
            </w:pPr>
          </w:p>
          <w:p w:rsidR="0083534F" w:rsidRDefault="0083534F" w:rsidP="00EA7076">
            <w:r>
              <w:lastRenderedPageBreak/>
              <w:t>[</w:t>
            </w:r>
            <w:r w:rsidRPr="009D0487">
              <w:rPr>
                <w:b/>
                <w:i/>
              </w:rPr>
              <w:t>or</w:t>
            </w:r>
            <w:r>
              <w:t>]</w:t>
            </w:r>
          </w:p>
          <w:p w:rsidR="0083534F" w:rsidRDefault="0083534F" w:rsidP="00EA7076"/>
          <w:p w:rsidR="0083534F" w:rsidRDefault="0083534F" w:rsidP="00EA7076">
            <w:r>
              <w:t>[</w:t>
            </w:r>
            <w:r w:rsidRPr="009D0487">
              <w:rPr>
                <w:i/>
              </w:rPr>
              <w:t xml:space="preserve">No Directors' fees will be paid </w:t>
            </w:r>
            <w:r>
              <w:t>[</w:t>
            </w:r>
            <w:r w:rsidRPr="009D0487">
              <w:rPr>
                <w:i/>
              </w:rPr>
              <w:t xml:space="preserve">until at least </w:t>
            </w:r>
            <w:r>
              <w:t>[</w:t>
            </w:r>
            <w:r w:rsidRPr="009D0487">
              <w:rPr>
                <w:b/>
                <w:i/>
              </w:rPr>
              <w:t>insert number</w:t>
            </w:r>
            <w:r>
              <w:t>]</w:t>
            </w:r>
            <w:r w:rsidRPr="009D0487">
              <w:rPr>
                <w:i/>
              </w:rPr>
              <w:t xml:space="preserve"> years after the Completion Date</w:t>
            </w:r>
            <w:r>
              <w:t>]</w:t>
            </w:r>
            <w:r w:rsidRPr="009D0487">
              <w:rPr>
                <w:i/>
              </w:rPr>
              <w:t xml:space="preserve"> unless authorised by a special resolution of Shareholders (75%);</w:t>
            </w:r>
            <w:r>
              <w:t>]</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lastRenderedPageBreak/>
              <w:t>Protective Provisions:</w:t>
            </w:r>
          </w:p>
        </w:tc>
        <w:tc>
          <w:tcPr>
            <w:tcW w:w="6775" w:type="dxa"/>
            <w:shd w:val="clear" w:color="auto" w:fill="auto"/>
          </w:tcPr>
          <w:p w:rsidR="0083534F" w:rsidRDefault="0083534F" w:rsidP="00EA7076">
            <w:r>
              <w:t>Prior approval of the Investor Director(s) is required for any of the following in relation to the Company:</w:t>
            </w:r>
          </w:p>
          <w:p w:rsidR="0083534F" w:rsidRDefault="0083534F" w:rsidP="00EA7076"/>
          <w:p w:rsidR="00B70B02" w:rsidRDefault="00B70B02" w:rsidP="00BE08EC">
            <w:pPr>
              <w:numPr>
                <w:ilvl w:val="0"/>
                <w:numId w:val="9"/>
              </w:numPr>
            </w:pPr>
            <w:r>
              <w:t>[</w:t>
            </w:r>
            <w:r w:rsidRPr="00EA7076">
              <w:rPr>
                <w:i/>
              </w:rPr>
              <w:t>For a period of two years following Completion</w:t>
            </w:r>
            <w:r>
              <w:t>] issues of Shares (including any IPO), options or any instruments convertible to equity (other than issues already contemplated by the Investment Agreement and any pro-rata rights issues)</w:t>
            </w:r>
            <w:r>
              <w:rPr>
                <w:rStyle w:val="FootnoteReference"/>
              </w:rPr>
              <w:footnoteReference w:id="9"/>
            </w:r>
            <w:r>
              <w:t>);</w:t>
            </w:r>
          </w:p>
          <w:p w:rsidR="00B70B02" w:rsidRDefault="00B70B02" w:rsidP="00EA7076"/>
          <w:p w:rsidR="0083534F" w:rsidRDefault="0083534F" w:rsidP="00BE08EC">
            <w:pPr>
              <w:numPr>
                <w:ilvl w:val="0"/>
                <w:numId w:val="9"/>
              </w:numPr>
            </w:pPr>
            <w:r>
              <w:t>any transaction or arrangement likely to have the effect of the Company acquiring rights or interests or incurring obligations or liabilities not specifically identified in the Agreed Business Plan, the value of which is greater than $[</w:t>
            </w:r>
            <w:r w:rsidRPr="003730B0">
              <w:rPr>
                <w:i/>
              </w:rPr>
              <w:t>10,000</w:t>
            </w:r>
            <w:r>
              <w:t>];</w:t>
            </w:r>
          </w:p>
          <w:p w:rsidR="00B70B02" w:rsidRDefault="00B70B02" w:rsidP="007F3364">
            <w:pPr>
              <w:ind w:left="850"/>
            </w:pPr>
          </w:p>
          <w:p w:rsidR="00B70B02" w:rsidRDefault="00B70B02" w:rsidP="00BE08EC">
            <w:pPr>
              <w:numPr>
                <w:ilvl w:val="0"/>
                <w:numId w:val="9"/>
              </w:numPr>
            </w:pPr>
            <w:r>
              <w:t xml:space="preserve">approval of subsequent budgets and Business Plans or any material amendments to or departures from the Agreed Business Plan; </w:t>
            </w:r>
          </w:p>
          <w:p w:rsidR="0083534F" w:rsidRDefault="0083534F" w:rsidP="00EA7076"/>
          <w:p w:rsidR="0083534F" w:rsidRDefault="0083534F" w:rsidP="00BE08EC">
            <w:pPr>
              <w:numPr>
                <w:ilvl w:val="0"/>
                <w:numId w:val="9"/>
              </w:numPr>
            </w:pPr>
            <w:r>
              <w:t>any borrowings, guarantees, indemnities or other contingent commitments;</w:t>
            </w:r>
          </w:p>
          <w:p w:rsidR="0083534F" w:rsidRDefault="0083534F" w:rsidP="00EA7076"/>
          <w:p w:rsidR="0083534F" w:rsidRDefault="0083534F" w:rsidP="00BE08EC">
            <w:pPr>
              <w:numPr>
                <w:ilvl w:val="0"/>
                <w:numId w:val="9"/>
              </w:numPr>
            </w:pPr>
            <w:r>
              <w:t>any change to accounting policies [</w:t>
            </w:r>
            <w:r w:rsidRPr="009D0487">
              <w:rPr>
                <w:i/>
              </w:rPr>
              <w:t>or the auditor</w:t>
            </w:r>
            <w:r>
              <w:t xml:space="preserve">]; </w:t>
            </w:r>
          </w:p>
          <w:p w:rsidR="0083534F" w:rsidRDefault="0083534F" w:rsidP="00EA7076"/>
          <w:p w:rsidR="0083534F" w:rsidRDefault="0083534F" w:rsidP="00BE08EC">
            <w:pPr>
              <w:numPr>
                <w:ilvl w:val="0"/>
                <w:numId w:val="9"/>
              </w:numPr>
            </w:pPr>
            <w:r>
              <w:t>any change to Director appointment rights;</w:t>
            </w:r>
            <w:r w:rsidR="00B70B02">
              <w:t xml:space="preserve"> </w:t>
            </w:r>
          </w:p>
          <w:p w:rsidR="0083534F" w:rsidRDefault="0083534F" w:rsidP="00EA7076"/>
          <w:p w:rsidR="0083534F" w:rsidRDefault="0083534F" w:rsidP="00BE08EC">
            <w:pPr>
              <w:numPr>
                <w:ilvl w:val="0"/>
                <w:numId w:val="9"/>
              </w:numPr>
            </w:pPr>
            <w:r>
              <w:t>appointment of removal of the CEO, CFO or any other Key Person [</w:t>
            </w:r>
            <w:r w:rsidRPr="009D0487">
              <w:rPr>
                <w:i/>
              </w:rPr>
              <w:t>or any other employee</w:t>
            </w:r>
            <w:r>
              <w:t>]</w:t>
            </w:r>
            <w:r w:rsidR="00B70B02">
              <w:t>.</w:t>
            </w:r>
            <w:r w:rsidR="00BE08EC">
              <w:t>or</w:t>
            </w:r>
          </w:p>
          <w:p w:rsidR="00BE08EC" w:rsidRDefault="00BE08EC" w:rsidP="007F3364">
            <w:pPr>
              <w:pStyle w:val="ListParagraph"/>
            </w:pPr>
          </w:p>
          <w:p w:rsidR="00BE08EC" w:rsidRDefault="00BE08EC" w:rsidP="00BE08EC">
            <w:pPr>
              <w:numPr>
                <w:ilvl w:val="0"/>
                <w:numId w:val="9"/>
              </w:numPr>
            </w:pPr>
            <w:r>
              <w:rPr>
                <w:i/>
                <w:lang w:eastAsia="zh-CN"/>
              </w:rPr>
              <w:t>[determining the fair market value of shares being bought back from a Key Person that is a bad leaver]</w:t>
            </w:r>
            <w:r>
              <w:rPr>
                <w:rStyle w:val="FootnoteReference"/>
                <w:i/>
                <w:lang w:eastAsia="zh-CN"/>
              </w:rPr>
              <w:footnoteReference w:id="10"/>
            </w:r>
          </w:p>
          <w:p w:rsidR="0083534F" w:rsidRDefault="0083534F" w:rsidP="00EA7076"/>
          <w:p w:rsidR="0083534F" w:rsidRDefault="0083534F" w:rsidP="00EA7076">
            <w:r>
              <w:t>Prior approval of a special resolution of Shareholders (75%) is required for the following:</w:t>
            </w:r>
          </w:p>
          <w:p w:rsidR="0083534F" w:rsidRDefault="0083534F" w:rsidP="00EA7076"/>
          <w:p w:rsidR="0083534F" w:rsidRDefault="0083534F" w:rsidP="00BE08EC">
            <w:pPr>
              <w:numPr>
                <w:ilvl w:val="0"/>
                <w:numId w:val="9"/>
              </w:numPr>
            </w:pPr>
            <w:r>
              <w:t xml:space="preserve">any Major Transaction or transaction involving the disposal of a material proportion of the Company's assets; </w:t>
            </w:r>
          </w:p>
          <w:p w:rsidR="0083534F" w:rsidRDefault="0083534F" w:rsidP="00EA7076"/>
          <w:p w:rsidR="0083534F" w:rsidRDefault="0083534F" w:rsidP="00BE08EC">
            <w:pPr>
              <w:numPr>
                <w:ilvl w:val="0"/>
                <w:numId w:val="9"/>
              </w:numPr>
            </w:pPr>
            <w:r>
              <w:t>any significant change in the nature of the Company's business (whether by acquisition or otherwise)</w:t>
            </w:r>
          </w:p>
          <w:p w:rsidR="0083534F" w:rsidRDefault="0083534F" w:rsidP="00EA7076"/>
          <w:p w:rsidR="0083534F" w:rsidRDefault="0083534F" w:rsidP="00BE08EC">
            <w:pPr>
              <w:numPr>
                <w:ilvl w:val="0"/>
                <w:numId w:val="9"/>
              </w:numPr>
            </w:pPr>
            <w:proofErr w:type="gramStart"/>
            <w:r>
              <w:t>any</w:t>
            </w:r>
            <w:proofErr w:type="gramEnd"/>
            <w:r>
              <w:t xml:space="preserve"> transaction between the Company and any holder of securities, Director, officer or employee of the Company or any Associate of any of them, unless that transaction has been approved by a unanimous resolution of the Board (including at least one Director who is not interested in the transaction).</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t>Financial Statements, Reporting:</w:t>
            </w:r>
          </w:p>
        </w:tc>
        <w:tc>
          <w:tcPr>
            <w:tcW w:w="6775" w:type="dxa"/>
            <w:shd w:val="clear" w:color="auto" w:fill="auto"/>
          </w:tcPr>
          <w:p w:rsidR="0083534F" w:rsidRDefault="0083534F" w:rsidP="00EA7076">
            <w:r>
              <w:t>Unaudited [</w:t>
            </w:r>
            <w:r w:rsidRPr="002D76E2">
              <w:rPr>
                <w:i/>
              </w:rPr>
              <w:t>monthly and</w:t>
            </w:r>
            <w:r>
              <w:t>] quarterly statements and [</w:t>
            </w:r>
            <w:r w:rsidRPr="009D0487">
              <w:rPr>
                <w:i/>
              </w:rPr>
              <w:t>un</w:t>
            </w:r>
            <w:r>
              <w:t>]audited annual accounts, accompanied by reports covering all material aspects of the Company's progress [</w:t>
            </w:r>
            <w:r w:rsidRPr="009D0487">
              <w:rPr>
                <w:i/>
              </w:rPr>
              <w:t>in the case of the quarterly and annual statements</w:t>
            </w:r>
            <w:r>
              <w:t xml:space="preserve">]. </w:t>
            </w:r>
          </w:p>
          <w:p w:rsidR="0083534F" w:rsidRDefault="0083534F" w:rsidP="00EA7076"/>
        </w:tc>
      </w:tr>
      <w:tr w:rsidR="0083534F" w:rsidTr="00EA7076">
        <w:tc>
          <w:tcPr>
            <w:tcW w:w="2814" w:type="dxa"/>
            <w:shd w:val="clear" w:color="auto" w:fill="auto"/>
          </w:tcPr>
          <w:p w:rsidR="0083534F" w:rsidRPr="009D0487" w:rsidRDefault="006C626C">
            <w:pPr>
              <w:keepNext/>
              <w:jc w:val="left"/>
              <w:rPr>
                <w:b/>
              </w:rPr>
            </w:pPr>
            <w:r>
              <w:rPr>
                <w:b/>
              </w:rPr>
              <w:t>NZVIF Specific Clauses</w:t>
            </w:r>
            <w:r w:rsidR="006B4430">
              <w:rPr>
                <w:rStyle w:val="FootnoteReference"/>
                <w:b/>
              </w:rPr>
              <w:footnoteReference w:id="11"/>
            </w:r>
          </w:p>
        </w:tc>
        <w:tc>
          <w:tcPr>
            <w:tcW w:w="6775" w:type="dxa"/>
            <w:shd w:val="clear" w:color="auto" w:fill="auto"/>
          </w:tcPr>
          <w:p w:rsidR="0083534F" w:rsidRDefault="006C626C" w:rsidP="00EA7076">
            <w:r>
              <w:t xml:space="preserve">If NZVIF is an Investor the </w:t>
            </w:r>
            <w:r w:rsidR="007F3364">
              <w:t xml:space="preserve">provisions set out </w:t>
            </w:r>
            <w:r>
              <w:t xml:space="preserve">in </w:t>
            </w:r>
            <w:r w:rsidR="007F3364">
              <w:t>A</w:t>
            </w:r>
            <w:r>
              <w:t xml:space="preserve">ppendix 3 will apply. </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lastRenderedPageBreak/>
              <w:t>Pre-emptive rights and Drag and Tag along</w:t>
            </w:r>
            <w:r>
              <w:rPr>
                <w:rStyle w:val="FootnoteReference"/>
              </w:rPr>
              <w:footnoteReference w:id="12"/>
            </w:r>
            <w:r w:rsidRPr="009D0487">
              <w:rPr>
                <w:b/>
              </w:rPr>
              <w:t xml:space="preserve">: </w:t>
            </w:r>
          </w:p>
        </w:tc>
        <w:tc>
          <w:tcPr>
            <w:tcW w:w="6775" w:type="dxa"/>
            <w:shd w:val="clear" w:color="auto" w:fill="auto"/>
          </w:tcPr>
          <w:p w:rsidR="0083534F" w:rsidRDefault="0083534F" w:rsidP="00EA7076">
            <w:r>
              <w:t xml:space="preserve">In addition to usual pre-emptive rights: </w:t>
            </w:r>
          </w:p>
          <w:p w:rsidR="0083534F" w:rsidRDefault="0083534F" w:rsidP="00EA7076"/>
          <w:p w:rsidR="0083534F" w:rsidRDefault="0083534F" w:rsidP="00D42874">
            <w:pPr>
              <w:numPr>
                <w:ilvl w:val="0"/>
                <w:numId w:val="8"/>
              </w:numPr>
            </w:pPr>
            <w:r>
              <w:t>tag along rights will apply where Shareholder(s) wish to sell more than [</w:t>
            </w:r>
            <w:r w:rsidRPr="009D0487">
              <w:rPr>
                <w:i/>
              </w:rPr>
              <w:t>20%</w:t>
            </w:r>
            <w:r>
              <w:t xml:space="preserve">] of the Shares in the Company to a third party and as between the Investors for any sale of </w:t>
            </w:r>
            <w:r w:rsidR="00982C41">
              <w:t xml:space="preserve">ordinary shares </w:t>
            </w:r>
            <w:r>
              <w:t>(so that the Shareholder(s) wishing to sell must procure the buyer to make a binding offer to other Shareholders who wish to sell on the same terms, on a pro rata basis if the buyer does not wish to buy all of the available Shares); and</w:t>
            </w:r>
          </w:p>
          <w:p w:rsidR="0083534F" w:rsidRDefault="0083534F" w:rsidP="00EA7076"/>
          <w:p w:rsidR="0083534F" w:rsidRDefault="0083534F" w:rsidP="00D42874">
            <w:pPr>
              <w:numPr>
                <w:ilvl w:val="0"/>
                <w:numId w:val="12"/>
              </w:numPr>
            </w:pPr>
            <w:proofErr w:type="gramStart"/>
            <w:r>
              <w:t>drag</w:t>
            </w:r>
            <w:proofErr w:type="gramEnd"/>
            <w:r>
              <w:t xml:space="preserve"> along rights will apply where Shareholder(s) wish to sell more than</w:t>
            </w:r>
            <w:r w:rsidRPr="009D0487">
              <w:rPr>
                <w:i/>
              </w:rPr>
              <w:t xml:space="preserve"> </w:t>
            </w:r>
            <w:r>
              <w:t>[</w:t>
            </w:r>
            <w:r w:rsidRPr="009D0487">
              <w:rPr>
                <w:i/>
              </w:rPr>
              <w:t>60%</w:t>
            </w:r>
            <w:r>
              <w:t>]</w:t>
            </w:r>
            <w:r w:rsidRPr="009D0487">
              <w:rPr>
                <w:i/>
              </w:rPr>
              <w:t xml:space="preserve"> </w:t>
            </w:r>
            <w:r>
              <w:t>of the Shares [</w:t>
            </w:r>
            <w:r w:rsidRPr="009D0487">
              <w:rPr>
                <w:i/>
              </w:rPr>
              <w:t>including a majority of the Investors' Shares</w:t>
            </w:r>
            <w:r>
              <w:t>]</w:t>
            </w:r>
            <w:r>
              <w:rPr>
                <w:rStyle w:val="FootnoteReference"/>
              </w:rPr>
              <w:footnoteReference w:id="13"/>
            </w:r>
            <w:r>
              <w:t xml:space="preserve"> [</w:t>
            </w:r>
            <w:r w:rsidRPr="009D0487">
              <w:rPr>
                <w:i/>
              </w:rPr>
              <w:t>or if the Investors wish to sell all of their Shares,</w:t>
            </w:r>
            <w:r>
              <w:t>], to a third party (so that the Shareholders selling their Shares may require the other Shareholders to sell all of their Shares on the same terms).</w:t>
            </w:r>
          </w:p>
          <w:p w:rsidR="0083534F" w:rsidRDefault="0083534F" w:rsidP="00EA7076"/>
        </w:tc>
      </w:tr>
      <w:tr w:rsidR="0083534F" w:rsidTr="00EA7076">
        <w:tc>
          <w:tcPr>
            <w:tcW w:w="2814" w:type="dxa"/>
            <w:shd w:val="clear" w:color="auto" w:fill="auto"/>
          </w:tcPr>
          <w:p w:rsidR="00BD7762" w:rsidRDefault="00BD7762" w:rsidP="00EA7076">
            <w:pPr>
              <w:spacing w:before="40"/>
              <w:jc w:val="left"/>
            </w:pPr>
            <w:r w:rsidRPr="007F3364">
              <w:t>[</w:t>
            </w:r>
            <w:r w:rsidR="0083534F" w:rsidRPr="007F3364">
              <w:rPr>
                <w:b/>
                <w:i/>
              </w:rPr>
              <w:t>Key People Escrow</w:t>
            </w:r>
            <w:r w:rsidRPr="007F3364">
              <w:t>]</w:t>
            </w:r>
            <w:r>
              <w:t xml:space="preserve">  </w:t>
            </w:r>
          </w:p>
          <w:p w:rsidR="00BD7762" w:rsidRDefault="00BD7762" w:rsidP="00EA7076">
            <w:pPr>
              <w:spacing w:before="40"/>
              <w:jc w:val="left"/>
            </w:pPr>
          </w:p>
          <w:p w:rsidR="00BD7762" w:rsidRDefault="00BD7762" w:rsidP="00EA7076">
            <w:pPr>
              <w:spacing w:before="40"/>
              <w:jc w:val="left"/>
            </w:pPr>
          </w:p>
          <w:p w:rsidR="00BD7762" w:rsidRDefault="00BD7762" w:rsidP="00EA7076">
            <w:pPr>
              <w:spacing w:before="40"/>
              <w:jc w:val="left"/>
            </w:pPr>
          </w:p>
          <w:p w:rsidR="00BD7762" w:rsidRDefault="00BD7762" w:rsidP="00EA7076">
            <w:pPr>
              <w:spacing w:before="40"/>
              <w:jc w:val="left"/>
            </w:pPr>
          </w:p>
          <w:p w:rsidR="00BD7762" w:rsidRDefault="00BD7762" w:rsidP="00EA7076">
            <w:pPr>
              <w:spacing w:before="40"/>
              <w:jc w:val="left"/>
            </w:pPr>
          </w:p>
          <w:p w:rsidR="00BD7762" w:rsidRDefault="00BD7762" w:rsidP="00EA7076">
            <w:pPr>
              <w:spacing w:before="40"/>
              <w:jc w:val="left"/>
            </w:pPr>
          </w:p>
          <w:p w:rsidR="00BD7762" w:rsidRDefault="00BD7762" w:rsidP="00EA7076">
            <w:pPr>
              <w:spacing w:before="40"/>
              <w:jc w:val="left"/>
            </w:pPr>
          </w:p>
          <w:p w:rsidR="00BD7762" w:rsidRDefault="00BD7762" w:rsidP="00EA7076">
            <w:pPr>
              <w:spacing w:before="40"/>
              <w:jc w:val="left"/>
            </w:pPr>
          </w:p>
          <w:p w:rsidR="00BD7762" w:rsidRDefault="00BD7762" w:rsidP="00EA7076">
            <w:pPr>
              <w:spacing w:before="40"/>
              <w:jc w:val="left"/>
            </w:pPr>
          </w:p>
          <w:p w:rsidR="00BD7762" w:rsidRDefault="00BD7762" w:rsidP="00EA7076">
            <w:pPr>
              <w:spacing w:before="40"/>
              <w:jc w:val="left"/>
            </w:pPr>
          </w:p>
          <w:p w:rsidR="0083534F" w:rsidRPr="009D0487" w:rsidRDefault="00BD7762" w:rsidP="00EA7076">
            <w:pPr>
              <w:spacing w:before="40"/>
              <w:jc w:val="left"/>
              <w:rPr>
                <w:b/>
              </w:rPr>
            </w:pPr>
            <w:r>
              <w:t>[</w:t>
            </w:r>
            <w:r w:rsidRPr="007F3364">
              <w:rPr>
                <w:b/>
                <w:i/>
              </w:rPr>
              <w:t>Key People</w:t>
            </w:r>
            <w:r>
              <w:t xml:space="preserve"> </w:t>
            </w:r>
            <w:r w:rsidRPr="007F3364">
              <w:rPr>
                <w:b/>
                <w:i/>
              </w:rPr>
              <w:t>Vesting</w:t>
            </w:r>
            <w:r>
              <w:t>]</w:t>
            </w:r>
            <w:r w:rsidR="0083534F" w:rsidRPr="009D0487">
              <w:rPr>
                <w:b/>
              </w:rPr>
              <w:t>:</w:t>
            </w: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pPr>
              <w:jc w:val="left"/>
              <w:rPr>
                <w:b/>
              </w:rPr>
            </w:pPr>
          </w:p>
        </w:tc>
        <w:tc>
          <w:tcPr>
            <w:tcW w:w="6775" w:type="dxa"/>
            <w:shd w:val="clear" w:color="auto" w:fill="auto"/>
          </w:tcPr>
          <w:p w:rsidR="0083534F" w:rsidRPr="007F3364" w:rsidRDefault="00BD7762" w:rsidP="00EA7076">
            <w:pPr>
              <w:rPr>
                <w:i/>
              </w:rPr>
            </w:pPr>
            <w:r>
              <w:t>[</w:t>
            </w:r>
            <w:r w:rsidR="0083534F" w:rsidRPr="007F3364">
              <w:rPr>
                <w:i/>
              </w:rPr>
              <w:t>Except with the consent of the Investor Directors the Key People are not permitted to dispose of any Shares for a period of [</w:t>
            </w:r>
            <w:r w:rsidR="0083534F" w:rsidRPr="007F3364">
              <w:rPr>
                <w:b/>
                <w:i/>
              </w:rPr>
              <w:t>3</w:t>
            </w:r>
            <w:r w:rsidR="0083534F" w:rsidRPr="007F3364">
              <w:rPr>
                <w:i/>
              </w:rPr>
              <w:t>] years from Completion Date, with the exception of:</w:t>
            </w:r>
          </w:p>
          <w:p w:rsidR="0083534F" w:rsidRPr="007F3364" w:rsidRDefault="0083534F" w:rsidP="00EA7076">
            <w:pPr>
              <w:rPr>
                <w:i/>
              </w:rPr>
            </w:pPr>
          </w:p>
          <w:p w:rsidR="0083534F" w:rsidRPr="007F3364" w:rsidRDefault="0083534F" w:rsidP="00BD7762">
            <w:pPr>
              <w:numPr>
                <w:ilvl w:val="0"/>
                <w:numId w:val="14"/>
              </w:numPr>
              <w:rPr>
                <w:i/>
              </w:rPr>
            </w:pPr>
            <w:r w:rsidRPr="007F3364">
              <w:rPr>
                <w:i/>
              </w:rPr>
              <w:t>a sale in an IPO;</w:t>
            </w:r>
          </w:p>
          <w:p w:rsidR="0083534F" w:rsidRPr="007F3364" w:rsidRDefault="0083534F" w:rsidP="00BD7762">
            <w:pPr>
              <w:numPr>
                <w:ilvl w:val="0"/>
                <w:numId w:val="14"/>
              </w:numPr>
              <w:rPr>
                <w:i/>
              </w:rPr>
            </w:pPr>
            <w:r w:rsidRPr="007F3364">
              <w:rPr>
                <w:i/>
              </w:rPr>
              <w:t xml:space="preserve">a sale where a </w:t>
            </w:r>
            <w:r w:rsidR="00C3231F">
              <w:rPr>
                <w:i/>
              </w:rPr>
              <w:t xml:space="preserve">tag along or </w:t>
            </w:r>
            <w:r w:rsidRPr="007F3364">
              <w:rPr>
                <w:i/>
              </w:rPr>
              <w:t xml:space="preserve">drag along right applies; or </w:t>
            </w:r>
          </w:p>
          <w:p w:rsidR="0083534F" w:rsidRPr="007F3364" w:rsidRDefault="0083534F" w:rsidP="00BD7762">
            <w:pPr>
              <w:numPr>
                <w:ilvl w:val="0"/>
                <w:numId w:val="14"/>
              </w:numPr>
              <w:rPr>
                <w:i/>
              </w:rPr>
            </w:pPr>
            <w:r w:rsidRPr="007F3364">
              <w:rPr>
                <w:i/>
              </w:rPr>
              <w:t>any other transaction approved by the Investors where the Investors have the opportunity to sell on identical terms; or</w:t>
            </w:r>
          </w:p>
          <w:p w:rsidR="0083534F" w:rsidRDefault="0083534F" w:rsidP="00BD7762">
            <w:pPr>
              <w:numPr>
                <w:ilvl w:val="0"/>
                <w:numId w:val="14"/>
              </w:numPr>
            </w:pPr>
            <w:proofErr w:type="gramStart"/>
            <w:r w:rsidRPr="007F3364">
              <w:rPr>
                <w:i/>
              </w:rPr>
              <w:t>a</w:t>
            </w:r>
            <w:proofErr w:type="gramEnd"/>
            <w:r w:rsidRPr="007F3364">
              <w:rPr>
                <w:i/>
              </w:rPr>
              <w:t xml:space="preserve"> transfer to their respective wholly owned and controlled entities or to immediate family.</w:t>
            </w:r>
            <w:r>
              <w:t xml:space="preserve"> </w:t>
            </w:r>
            <w:r w:rsidR="00BD7762">
              <w:t>]</w:t>
            </w:r>
          </w:p>
          <w:p w:rsidR="00BD7762" w:rsidRDefault="00BD7762" w:rsidP="007F3364">
            <w:pPr>
              <w:rPr>
                <w:i/>
              </w:rPr>
            </w:pPr>
          </w:p>
          <w:p w:rsidR="00BD7762" w:rsidRDefault="00BD7762" w:rsidP="007F3364"/>
          <w:p w:rsidR="00BD7762" w:rsidRDefault="00BD7762" w:rsidP="007F3364"/>
          <w:p w:rsidR="00BD7762" w:rsidRDefault="00BD7762" w:rsidP="007F3364">
            <w:r>
              <w:t>The shares held by the Key People will be subject to the following provisions:</w:t>
            </w:r>
          </w:p>
          <w:p w:rsidR="00BD7762" w:rsidRDefault="00BD7762" w:rsidP="007F3364"/>
          <w:p w:rsidR="00BD7762" w:rsidRDefault="00BD7762" w:rsidP="007F3364">
            <w:pPr>
              <w:numPr>
                <w:ilvl w:val="0"/>
                <w:numId w:val="14"/>
              </w:numPr>
              <w:rPr>
                <w:i/>
              </w:rPr>
            </w:pPr>
            <w:r w:rsidRPr="007F3364">
              <w:rPr>
                <w:i/>
              </w:rPr>
              <w:t xml:space="preserve">[50]% of the </w:t>
            </w:r>
            <w:r w:rsidRPr="00761B35">
              <w:rPr>
                <w:i/>
              </w:rPr>
              <w:t>Key Peoples'</w:t>
            </w:r>
            <w:r w:rsidRPr="007F3364">
              <w:rPr>
                <w:i/>
              </w:rPr>
              <w:t xml:space="preserve"> shares to vest over a [insert] year period</w:t>
            </w:r>
            <w:r>
              <w:rPr>
                <w:rStyle w:val="FootnoteReference"/>
                <w:i/>
              </w:rPr>
              <w:footnoteReference w:id="14"/>
            </w:r>
            <w:r w:rsidRPr="007F3364">
              <w:rPr>
                <w:i/>
              </w:rPr>
              <w:t xml:space="preserve">; </w:t>
            </w:r>
            <w:r w:rsidR="00761B35">
              <w:rPr>
                <w:i/>
              </w:rPr>
              <w:t>and</w:t>
            </w:r>
          </w:p>
          <w:p w:rsidR="00761B35" w:rsidRPr="007F3364" w:rsidRDefault="00761B35" w:rsidP="007F3364">
            <w:pPr>
              <w:ind w:left="850"/>
              <w:rPr>
                <w:i/>
              </w:rPr>
            </w:pPr>
          </w:p>
          <w:p w:rsidR="00BD7762" w:rsidRDefault="00761B35" w:rsidP="007F3364">
            <w:pPr>
              <w:numPr>
                <w:ilvl w:val="0"/>
                <w:numId w:val="14"/>
              </w:numPr>
              <w:rPr>
                <w:i/>
              </w:rPr>
            </w:pPr>
            <w:proofErr w:type="gramStart"/>
            <w:r>
              <w:rPr>
                <w:i/>
              </w:rPr>
              <w:t>the</w:t>
            </w:r>
            <w:proofErr w:type="gramEnd"/>
            <w:r>
              <w:rPr>
                <w:i/>
              </w:rPr>
              <w:t xml:space="preserve"> Company will have </w:t>
            </w:r>
            <w:r w:rsidR="00BD7762" w:rsidRPr="007F3364">
              <w:rPr>
                <w:i/>
              </w:rPr>
              <w:t>a right to buy back the shares of any</w:t>
            </w:r>
            <w:r>
              <w:rPr>
                <w:i/>
              </w:rPr>
              <w:t xml:space="preserve"> Key Person </w:t>
            </w:r>
            <w:r w:rsidR="00BD7762" w:rsidRPr="007F3364">
              <w:rPr>
                <w:i/>
              </w:rPr>
              <w:t xml:space="preserve">who is a </w:t>
            </w:r>
            <w:r w:rsidR="007F3364">
              <w:rPr>
                <w:i/>
              </w:rPr>
              <w:t>'</w:t>
            </w:r>
            <w:r w:rsidR="00BD7762" w:rsidRPr="007F3364">
              <w:rPr>
                <w:i/>
              </w:rPr>
              <w:t>bad leaver</w:t>
            </w:r>
            <w:r w:rsidR="007F3364">
              <w:rPr>
                <w:i/>
              </w:rPr>
              <w:t>'</w:t>
            </w:r>
            <w:r w:rsidR="00BD7762" w:rsidRPr="007F3364">
              <w:rPr>
                <w:i/>
              </w:rPr>
              <w:t xml:space="preserve"> at [50]% of fair market value</w:t>
            </w:r>
            <w:r>
              <w:rPr>
                <w:rStyle w:val="FootnoteReference"/>
                <w:i/>
              </w:rPr>
              <w:footnoteReference w:id="15"/>
            </w:r>
            <w:r>
              <w:rPr>
                <w:i/>
              </w:rPr>
              <w:t>.</w:t>
            </w:r>
            <w:r w:rsidR="00BD7762" w:rsidRPr="007F3364">
              <w:rPr>
                <w:i/>
              </w:rPr>
              <w:t xml:space="preserve"> </w:t>
            </w:r>
          </w:p>
          <w:p w:rsidR="00761B35" w:rsidRPr="007F3364" w:rsidRDefault="00761B35" w:rsidP="007F3364">
            <w:pPr>
              <w:ind w:left="850"/>
              <w:rPr>
                <w:i/>
              </w:rPr>
            </w:pPr>
          </w:p>
          <w:p w:rsidR="0083534F" w:rsidRPr="00BD7762" w:rsidRDefault="00BD7762" w:rsidP="00EA7076">
            <w:r>
              <w:t>[</w:t>
            </w:r>
            <w:r w:rsidRPr="007F3364">
              <w:rPr>
                <w:b/>
                <w:i/>
              </w:rPr>
              <w:t xml:space="preserve">drafting note: </w:t>
            </w:r>
            <w:r>
              <w:rPr>
                <w:b/>
                <w:i/>
              </w:rPr>
              <w:t>delete either Key People Escrow or Key People Vesting, as applicable</w:t>
            </w:r>
            <w:r w:rsidRPr="007F3364">
              <w:t>]</w:t>
            </w:r>
          </w:p>
          <w:p w:rsidR="0083534F" w:rsidRDefault="0083534F"/>
        </w:tc>
      </w:tr>
      <w:tr w:rsidR="00BD7762" w:rsidTr="00EA7076">
        <w:tc>
          <w:tcPr>
            <w:tcW w:w="2814" w:type="dxa"/>
            <w:shd w:val="clear" w:color="auto" w:fill="auto"/>
          </w:tcPr>
          <w:p w:rsidR="00BD7762" w:rsidRPr="009D0487" w:rsidRDefault="00BD7762" w:rsidP="00BD7762">
            <w:pPr>
              <w:jc w:val="left"/>
              <w:rPr>
                <w:b/>
              </w:rPr>
            </w:pPr>
            <w:r w:rsidRPr="009D0487">
              <w:rPr>
                <w:b/>
              </w:rPr>
              <w:t>Key Man Insurance:</w:t>
            </w:r>
          </w:p>
          <w:p w:rsidR="00BD7762" w:rsidRPr="009D0487" w:rsidRDefault="00BD7762" w:rsidP="00EA7076">
            <w:pPr>
              <w:spacing w:before="40"/>
              <w:jc w:val="left"/>
              <w:rPr>
                <w:b/>
              </w:rPr>
            </w:pPr>
          </w:p>
        </w:tc>
        <w:tc>
          <w:tcPr>
            <w:tcW w:w="6775" w:type="dxa"/>
            <w:shd w:val="clear" w:color="auto" w:fill="auto"/>
          </w:tcPr>
          <w:p w:rsidR="00BD7762" w:rsidRPr="009D0487" w:rsidRDefault="00BD7762" w:rsidP="00BD7762">
            <w:pPr>
              <w:rPr>
                <w:sz w:val="19"/>
              </w:rPr>
            </w:pPr>
            <w:r>
              <w:t>The Company will procure and maintain (for the Company's benefit), and at least once annually review, key man life insurance policies in such amounts and on such terms as the Board determines is prudent, based on advice from a suitably qualified risk adviser, on the lives of [</w:t>
            </w:r>
            <w:r w:rsidRPr="009D0487">
              <w:rPr>
                <w:i/>
              </w:rPr>
              <w:t>the</w:t>
            </w:r>
            <w:r>
              <w:t>] [</w:t>
            </w:r>
            <w:r w:rsidRPr="009D0487">
              <w:rPr>
                <w:b/>
                <w:i/>
              </w:rPr>
              <w:t>or</w:t>
            </w:r>
            <w:r>
              <w:t>] [</w:t>
            </w:r>
            <w:r w:rsidRPr="009D0487">
              <w:rPr>
                <w:i/>
              </w:rPr>
              <w:t>each of the following</w:t>
            </w:r>
            <w:r>
              <w:t>] Key People:</w:t>
            </w:r>
          </w:p>
          <w:p w:rsidR="00BD7762" w:rsidRDefault="00BD7762" w:rsidP="00EA7076"/>
        </w:tc>
      </w:tr>
      <w:tr w:rsidR="0083534F" w:rsidTr="00EA7076">
        <w:tc>
          <w:tcPr>
            <w:tcW w:w="2814" w:type="dxa"/>
            <w:shd w:val="clear" w:color="auto" w:fill="auto"/>
          </w:tcPr>
          <w:p w:rsidR="0083534F" w:rsidRPr="009D0487" w:rsidRDefault="0083534F" w:rsidP="00EA7076">
            <w:pPr>
              <w:jc w:val="left"/>
              <w:rPr>
                <w:b/>
              </w:rPr>
            </w:pPr>
            <w:r w:rsidRPr="009D0487">
              <w:rPr>
                <w:b/>
              </w:rPr>
              <w:lastRenderedPageBreak/>
              <w:t>Warranties:</w:t>
            </w:r>
          </w:p>
        </w:tc>
        <w:tc>
          <w:tcPr>
            <w:tcW w:w="6775" w:type="dxa"/>
            <w:shd w:val="clear" w:color="auto" w:fill="auto"/>
          </w:tcPr>
          <w:p w:rsidR="0083534F" w:rsidRDefault="0083534F" w:rsidP="00EA7076">
            <w:r>
              <w:t>Without limiting usual warranties for similar investments as will be contained in the Investment Agreement, the Company [</w:t>
            </w:r>
            <w:r w:rsidRPr="009D0487">
              <w:rPr>
                <w:i/>
              </w:rPr>
              <w:t xml:space="preserve">and </w:t>
            </w:r>
            <w:r>
              <w:t>[</w:t>
            </w:r>
            <w:r w:rsidRPr="009D0487">
              <w:rPr>
                <w:i/>
              </w:rPr>
              <w:t>Key People</w:t>
            </w:r>
            <w:r>
              <w:t>]</w:t>
            </w:r>
            <w:r>
              <w:rPr>
                <w:rStyle w:val="FootnoteReference"/>
              </w:rPr>
              <w:footnoteReference w:id="16"/>
            </w:r>
            <w:r>
              <w:t xml:space="preserve"> [</w:t>
            </w:r>
            <w:r w:rsidRPr="009D0487">
              <w:rPr>
                <w:b/>
                <w:i/>
              </w:rPr>
              <w:t>or name warrantors</w:t>
            </w:r>
            <w:r>
              <w:t>] [(in the case of the individual warrantors, to the best of their knowledge and belief] [</w:t>
            </w:r>
            <w:r w:rsidRPr="009D0487">
              <w:rPr>
                <w:i/>
              </w:rPr>
              <w:t>after due and careful enquiry</w:t>
            </w:r>
            <w:r>
              <w:t>]  will warrant that (except as fully and fairly disclosed with sufficient particularity in a disclosure schedule):</w:t>
            </w:r>
          </w:p>
          <w:p w:rsidR="0083534F" w:rsidRDefault="0083534F" w:rsidP="00EA7076"/>
          <w:p w:rsidR="0083534F" w:rsidRDefault="0083534F" w:rsidP="00D42874">
            <w:pPr>
              <w:numPr>
                <w:ilvl w:val="0"/>
                <w:numId w:val="10"/>
              </w:numPr>
            </w:pPr>
            <w:r>
              <w:t>all intellectual property and other rights necessary to pursue the Business are the full legal, beneficial and unencumbered property of the Company;</w:t>
            </w:r>
          </w:p>
          <w:p w:rsidR="0083534F" w:rsidRDefault="0083534F" w:rsidP="00EA7076"/>
          <w:p w:rsidR="0083534F" w:rsidRDefault="0083534F" w:rsidP="00D42874">
            <w:pPr>
              <w:numPr>
                <w:ilvl w:val="0"/>
                <w:numId w:val="11"/>
              </w:numPr>
            </w:pPr>
            <w:r>
              <w:t>the Company has no actual or contingent liabilities not specified in the statement of financial position provided to the Investors and such statement provides a true and fair view of the Company's position; and</w:t>
            </w:r>
          </w:p>
          <w:p w:rsidR="0083534F" w:rsidRDefault="0083534F" w:rsidP="00EA7076"/>
          <w:p w:rsidR="0083534F" w:rsidRDefault="0083534F" w:rsidP="00D42874">
            <w:pPr>
              <w:numPr>
                <w:ilvl w:val="0"/>
                <w:numId w:val="11"/>
              </w:numPr>
            </w:pPr>
            <w:proofErr w:type="gramStart"/>
            <w:r>
              <w:t>all</w:t>
            </w:r>
            <w:proofErr w:type="gramEnd"/>
            <w:r>
              <w:t xml:space="preserve"> other information provided to the Investors is true, accurate and complete in all material respects.</w:t>
            </w:r>
          </w:p>
          <w:p w:rsidR="0083534F" w:rsidRDefault="0083534F" w:rsidP="00EA7076"/>
          <w:p w:rsidR="0083534F" w:rsidRDefault="0083534F" w:rsidP="00425108">
            <w:r>
              <w:t>[</w:t>
            </w:r>
            <w:r w:rsidRPr="002D76E2">
              <w:rPr>
                <w:i/>
              </w:rPr>
              <w:t>The</w:t>
            </w:r>
            <w:r>
              <w:rPr>
                <w:i/>
              </w:rPr>
              <w:t xml:space="preserve"> liability of [insert name(s) of individual warrantors</w:t>
            </w:r>
            <w:r>
              <w:t>] for any breach of the warranties is limited to, in aggregate,</w:t>
            </w:r>
            <w:r w:rsidRPr="002D76E2">
              <w:rPr>
                <w:i/>
              </w:rPr>
              <w:t xml:space="preserve"> </w:t>
            </w:r>
            <w:r>
              <w:t>[</w:t>
            </w:r>
            <w:r w:rsidRPr="002D76E2">
              <w:rPr>
                <w:i/>
              </w:rPr>
              <w:t>$50,000</w:t>
            </w:r>
            <w:r>
              <w:t>]</w:t>
            </w:r>
            <w:r>
              <w:rPr>
                <w:rStyle w:val="FootnoteReference"/>
              </w:rPr>
              <w:footnoteReference w:id="17"/>
            </w:r>
            <w:r>
              <w:t>].</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t>Transaction Fees</w:t>
            </w:r>
          </w:p>
        </w:tc>
        <w:tc>
          <w:tcPr>
            <w:tcW w:w="6775" w:type="dxa"/>
            <w:shd w:val="clear" w:color="auto" w:fill="auto"/>
          </w:tcPr>
          <w:p w:rsidR="0083534F" w:rsidRDefault="0083534F" w:rsidP="00EA7076">
            <w:r>
              <w:t>Immediately following subscription of [</w:t>
            </w:r>
            <w:r w:rsidRPr="009D0487">
              <w:rPr>
                <w:i/>
              </w:rPr>
              <w:t>the first tranche of</w:t>
            </w:r>
            <w:r>
              <w:t>] the Investment Amount, the Company will pay a sum equivalent to [</w:t>
            </w:r>
            <w:r w:rsidRPr="009D0487">
              <w:rPr>
                <w:b/>
                <w:i/>
              </w:rPr>
              <w:t>insert number</w:t>
            </w:r>
            <w:proofErr w:type="gramStart"/>
            <w:r>
              <w:t>]%</w:t>
            </w:r>
            <w:proofErr w:type="gramEnd"/>
            <w:r>
              <w:t xml:space="preserve"> (plus GST) of the Investment Amount to [</w:t>
            </w:r>
            <w:r w:rsidRPr="009D0487">
              <w:rPr>
                <w:b/>
                <w:i/>
              </w:rPr>
              <w:t>insert entity</w:t>
            </w:r>
            <w:r>
              <w:t>]. For the avoidance of doubt, the Investment Amount is the amount actually paid to the Company by the Investor for the Shares.</w:t>
            </w:r>
          </w:p>
          <w:p w:rsidR="0083534F" w:rsidRDefault="0083534F" w:rsidP="007F3364">
            <w:pPr>
              <w:spacing w:before="40"/>
            </w:pPr>
          </w:p>
        </w:tc>
      </w:tr>
      <w:tr w:rsidR="0083534F" w:rsidTr="00EA7076">
        <w:tc>
          <w:tcPr>
            <w:tcW w:w="2814" w:type="dxa"/>
            <w:shd w:val="clear" w:color="auto" w:fill="auto"/>
          </w:tcPr>
          <w:p w:rsidR="0083534F" w:rsidRPr="009D0487" w:rsidRDefault="0083534F" w:rsidP="00EA7076">
            <w:pPr>
              <w:jc w:val="left"/>
              <w:rPr>
                <w:b/>
              </w:rPr>
            </w:pPr>
          </w:p>
          <w:p w:rsidR="0083534F" w:rsidRPr="009D0487" w:rsidRDefault="0083534F" w:rsidP="00EA7076">
            <w:pPr>
              <w:spacing w:before="60"/>
              <w:jc w:val="left"/>
              <w:rPr>
                <w:b/>
                <w:i/>
              </w:rPr>
            </w:pPr>
            <w:r>
              <w:t>[</w:t>
            </w:r>
            <w:r w:rsidRPr="009D0487">
              <w:rPr>
                <w:b/>
                <w:i/>
              </w:rPr>
              <w:t>Other Key Terms:</w:t>
            </w:r>
          </w:p>
          <w:p w:rsidR="0083534F" w:rsidRPr="009D0487" w:rsidRDefault="0083534F" w:rsidP="00EA7076">
            <w:pPr>
              <w:jc w:val="left"/>
              <w:rPr>
                <w:b/>
              </w:rPr>
            </w:pPr>
          </w:p>
        </w:tc>
        <w:tc>
          <w:tcPr>
            <w:tcW w:w="6775" w:type="dxa"/>
            <w:shd w:val="clear" w:color="auto" w:fill="auto"/>
          </w:tcPr>
          <w:p w:rsidR="0083534F" w:rsidRDefault="0083534F" w:rsidP="00EA7076"/>
          <w:p w:rsidR="0083534F" w:rsidRDefault="0083534F" w:rsidP="00EA7076">
            <w:r w:rsidRPr="009D0487">
              <w:rPr>
                <w:b/>
                <w:i/>
              </w:rPr>
              <w:t>Insert other key terms as required e.g. will Investors have rights relating to further capital raisings?</w:t>
            </w:r>
            <w:r w:rsidRPr="009D0487">
              <w:rPr>
                <w:b/>
              </w:rPr>
              <w:t>]</w:t>
            </w:r>
            <w:r>
              <w:t xml:space="preserve"> </w:t>
            </w:r>
          </w:p>
          <w:p w:rsidR="0083534F" w:rsidRDefault="0083534F" w:rsidP="00EA7076"/>
        </w:tc>
      </w:tr>
      <w:tr w:rsidR="0083534F" w:rsidTr="00EA7076">
        <w:tc>
          <w:tcPr>
            <w:tcW w:w="9589" w:type="dxa"/>
            <w:gridSpan w:val="2"/>
            <w:shd w:val="clear" w:color="auto" w:fill="auto"/>
          </w:tcPr>
          <w:p w:rsidR="0083534F" w:rsidRPr="009D0487" w:rsidRDefault="0083534F" w:rsidP="00EA7076">
            <w:pPr>
              <w:jc w:val="left"/>
              <w:rPr>
                <w:b/>
              </w:rPr>
            </w:pPr>
            <w:r w:rsidRPr="009D0487">
              <w:rPr>
                <w:b/>
              </w:rPr>
              <w:t>PART B: LEGALLY BINDING TERMS</w:t>
            </w:r>
          </w:p>
          <w:p w:rsidR="0083534F" w:rsidRDefault="0083534F" w:rsidP="00EA7076"/>
        </w:tc>
      </w:tr>
      <w:tr w:rsidR="0083534F" w:rsidTr="00EA7076">
        <w:tc>
          <w:tcPr>
            <w:tcW w:w="2814" w:type="dxa"/>
            <w:shd w:val="clear" w:color="auto" w:fill="auto"/>
          </w:tcPr>
          <w:p w:rsidR="0083534F" w:rsidRPr="009D0487" w:rsidRDefault="0083534F" w:rsidP="00EA7076">
            <w:pPr>
              <w:jc w:val="left"/>
              <w:rPr>
                <w:b/>
              </w:rPr>
            </w:pPr>
            <w:r w:rsidRPr="009D0487">
              <w:rPr>
                <w:b/>
              </w:rPr>
              <w:t>Exclusive Period:</w:t>
            </w:r>
          </w:p>
        </w:tc>
        <w:tc>
          <w:tcPr>
            <w:tcW w:w="6775" w:type="dxa"/>
            <w:shd w:val="clear" w:color="auto" w:fill="auto"/>
          </w:tcPr>
          <w:p w:rsidR="0083534F" w:rsidRDefault="0083534F" w:rsidP="00EA7076">
            <w:r>
              <w:t>For a period of [</w:t>
            </w:r>
            <w:r>
              <w:rPr>
                <w:i/>
              </w:rPr>
              <w:t>6</w:t>
            </w:r>
            <w:r w:rsidRPr="009D0487">
              <w:rPr>
                <w:i/>
              </w:rPr>
              <w:t>0</w:t>
            </w:r>
            <w:r>
              <w:t>] days from the date of signing this Term Sheet, (</w:t>
            </w:r>
            <w:r w:rsidRPr="009D0487">
              <w:rPr>
                <w:b/>
              </w:rPr>
              <w:t>Exclusivity Period</w:t>
            </w:r>
            <w:r>
              <w:t>) none of the Company, its shareholders, directors, officers, contractors or employees will conduct any discussions whatsoever with any third party regarding any investment in the Company, except as may be approved by the Investors in their discretion.</w:t>
            </w:r>
          </w:p>
          <w:p w:rsidR="0083534F" w:rsidRDefault="0083534F" w:rsidP="00EA7076"/>
        </w:tc>
      </w:tr>
      <w:tr w:rsidR="0083534F" w:rsidTr="00EA7076">
        <w:tc>
          <w:tcPr>
            <w:tcW w:w="2814" w:type="dxa"/>
            <w:shd w:val="clear" w:color="auto" w:fill="auto"/>
          </w:tcPr>
          <w:p w:rsidR="0083534F" w:rsidRPr="009D0487" w:rsidRDefault="0083534F" w:rsidP="000C2201">
            <w:pPr>
              <w:jc w:val="left"/>
              <w:rPr>
                <w:b/>
              </w:rPr>
            </w:pPr>
            <w:r w:rsidRPr="009D0487">
              <w:rPr>
                <w:b/>
              </w:rPr>
              <w:t xml:space="preserve">Legal </w:t>
            </w:r>
            <w:r w:rsidR="000C2201">
              <w:rPr>
                <w:b/>
              </w:rPr>
              <w:t>C</w:t>
            </w:r>
            <w:r w:rsidRPr="009D0487">
              <w:rPr>
                <w:b/>
              </w:rPr>
              <w:t>osts:</w:t>
            </w:r>
          </w:p>
        </w:tc>
        <w:tc>
          <w:tcPr>
            <w:tcW w:w="6775" w:type="dxa"/>
            <w:shd w:val="clear" w:color="auto" w:fill="auto"/>
          </w:tcPr>
          <w:p w:rsidR="0083534F" w:rsidRDefault="0083534F" w:rsidP="00D749DD">
            <w:r>
              <w:t>The Company will pay all legal and professional costs incurred by the Investors relating to the Investment Agreement and related documentation [</w:t>
            </w:r>
            <w:r>
              <w:rPr>
                <w:i/>
              </w:rPr>
              <w:t>up to a maximum of $[10,000]</w:t>
            </w:r>
            <w:r>
              <w:t>] plus GST, whether or not an Investment Agreement is entered into.</w:t>
            </w:r>
          </w:p>
          <w:p w:rsidR="0083534F" w:rsidRDefault="0083534F" w:rsidP="00D749DD"/>
          <w:p w:rsidR="0083534F" w:rsidRDefault="0083534F" w:rsidP="00D749DD">
            <w:r>
              <w:t>The Company will pay its own legal and professional costs incurred by it in relation to the Investment Agreement and related documentation, which in any event will not exceed $[</w:t>
            </w:r>
            <w:r w:rsidRPr="00EA7076">
              <w:rPr>
                <w:b/>
                <w:i/>
              </w:rPr>
              <w:t>insert amount</w:t>
            </w:r>
            <w:r>
              <w:t>].</w:t>
            </w:r>
          </w:p>
          <w:p w:rsidR="0083534F" w:rsidRDefault="0083534F"/>
        </w:tc>
      </w:tr>
      <w:tr w:rsidR="0083534F" w:rsidTr="00EA7076">
        <w:tc>
          <w:tcPr>
            <w:tcW w:w="2814" w:type="dxa"/>
            <w:shd w:val="clear" w:color="auto" w:fill="auto"/>
          </w:tcPr>
          <w:p w:rsidR="0083534F" w:rsidRPr="009D0487" w:rsidRDefault="0083534F" w:rsidP="00EA7076">
            <w:pPr>
              <w:jc w:val="left"/>
              <w:rPr>
                <w:b/>
              </w:rPr>
            </w:pPr>
            <w:r w:rsidRPr="009D0487">
              <w:rPr>
                <w:b/>
              </w:rPr>
              <w:t>Confidentiality:</w:t>
            </w: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jc w:val="left"/>
              <w:rPr>
                <w:b/>
              </w:rPr>
            </w:pPr>
          </w:p>
          <w:p w:rsidR="0083534F" w:rsidRPr="009D0487" w:rsidRDefault="0083534F" w:rsidP="00EA7076">
            <w:pPr>
              <w:spacing w:before="40"/>
              <w:jc w:val="left"/>
              <w:rPr>
                <w:b/>
              </w:rPr>
            </w:pPr>
          </w:p>
          <w:p w:rsidR="0083534F" w:rsidRPr="009D0487" w:rsidRDefault="0083534F" w:rsidP="00EA7076">
            <w:pPr>
              <w:spacing w:before="40"/>
              <w:jc w:val="left"/>
              <w:rPr>
                <w:b/>
                <w:i/>
              </w:rPr>
            </w:pPr>
            <w:r w:rsidRPr="009D0487">
              <w:rPr>
                <w:b/>
              </w:rPr>
              <w:t>[</w:t>
            </w:r>
            <w:r w:rsidRPr="009D0487">
              <w:rPr>
                <w:b/>
                <w:i/>
              </w:rPr>
              <w:t>Investor</w:t>
            </w:r>
            <w:r w:rsidR="00380B78">
              <w:rPr>
                <w:b/>
                <w:i/>
              </w:rPr>
              <w:t>s'</w:t>
            </w:r>
            <w:r w:rsidRPr="009D0487">
              <w:rPr>
                <w:b/>
                <w:i/>
              </w:rPr>
              <w:t xml:space="preserve"> Representative:</w:t>
            </w:r>
          </w:p>
          <w:p w:rsidR="0083534F" w:rsidRPr="009D0487" w:rsidRDefault="0083534F" w:rsidP="00EA7076">
            <w:pPr>
              <w:jc w:val="left"/>
              <w:rPr>
                <w:b/>
              </w:rPr>
            </w:pPr>
          </w:p>
          <w:p w:rsidR="0083534F" w:rsidRPr="009D0487" w:rsidRDefault="0083534F" w:rsidP="00EA7076">
            <w:pPr>
              <w:jc w:val="left"/>
              <w:rPr>
                <w:b/>
              </w:rPr>
            </w:pPr>
          </w:p>
        </w:tc>
        <w:tc>
          <w:tcPr>
            <w:tcW w:w="6775" w:type="dxa"/>
            <w:shd w:val="clear" w:color="auto" w:fill="auto"/>
          </w:tcPr>
          <w:p w:rsidR="0083534F" w:rsidRDefault="0083534F" w:rsidP="00EA7076">
            <w:r>
              <w:lastRenderedPageBreak/>
              <w:t>The contents of this Term Sheet, and the fact that one has been issued, may only be disclosed by the Company to its shareholders, directors and advisers or other person(s) approved by the Investors (on a need to know basis).</w:t>
            </w:r>
          </w:p>
          <w:p w:rsidR="0083534F" w:rsidRDefault="0083534F" w:rsidP="00EA7076"/>
          <w:p w:rsidR="0083534F" w:rsidRDefault="0083534F" w:rsidP="00EA7076"/>
          <w:p w:rsidR="0083534F" w:rsidRDefault="0083534F" w:rsidP="00EA7076"/>
          <w:p w:rsidR="0083534F" w:rsidRDefault="0083534F" w:rsidP="00EA7076">
            <w:r>
              <w:t xml:space="preserve">[  ]] </w:t>
            </w:r>
            <w:r w:rsidRPr="009D0487">
              <w:rPr>
                <w:i/>
              </w:rPr>
              <w:t>represents</w:t>
            </w:r>
            <w:r>
              <w:t xml:space="preserve"> [</w:t>
            </w:r>
            <w:r w:rsidRPr="009D0487">
              <w:rPr>
                <w:i/>
              </w:rPr>
              <w:t>he/she</w:t>
            </w:r>
            <w:r>
              <w:t xml:space="preserve">] </w:t>
            </w:r>
            <w:r w:rsidRPr="009D0487">
              <w:rPr>
                <w:i/>
              </w:rPr>
              <w:t>has</w:t>
            </w:r>
            <w:r>
              <w:t xml:space="preserve"> </w:t>
            </w:r>
            <w:r w:rsidRPr="009D0487">
              <w:rPr>
                <w:i/>
              </w:rPr>
              <w:t xml:space="preserve">authority to bind </w:t>
            </w:r>
            <w:r>
              <w:t>[</w:t>
            </w:r>
            <w:r w:rsidRPr="009D0487">
              <w:rPr>
                <w:b/>
                <w:i/>
              </w:rPr>
              <w:t>insert relevant Investors they represent</w:t>
            </w:r>
            <w:r>
              <w:t>]</w:t>
            </w:r>
            <w:r w:rsidRPr="009D0487">
              <w:rPr>
                <w:i/>
              </w:rPr>
              <w:t xml:space="preserve"> in respect of all matters relating to the Investment</w:t>
            </w:r>
            <w:r>
              <w:t>]]</w:t>
            </w:r>
            <w:r>
              <w:rPr>
                <w:rStyle w:val="FootnoteReference"/>
              </w:rPr>
              <w:footnoteReference w:id="18"/>
            </w:r>
            <w:r>
              <w:t>.</w:t>
            </w:r>
          </w:p>
          <w:p w:rsidR="0083534F" w:rsidRDefault="0083534F" w:rsidP="00EA7076"/>
          <w:p w:rsidR="0083534F" w:rsidRDefault="0083534F" w:rsidP="00EA7076"/>
        </w:tc>
      </w:tr>
    </w:tbl>
    <w:p w:rsidR="002761B1" w:rsidRDefault="002761B1" w:rsidP="002761B1">
      <w:pPr>
        <w:ind w:right="-860"/>
        <w:jc w:val="left"/>
      </w:pPr>
    </w:p>
    <w:p w:rsidR="002761B1" w:rsidRDefault="002761B1" w:rsidP="002761B1">
      <w:pPr>
        <w:ind w:right="-860"/>
        <w:jc w:val="left"/>
      </w:pPr>
      <w:r>
        <w:t xml:space="preserve">The parties respectively acknowledge the intended investment terms described in Part A and agree to be bound by the terms in Part B. </w:t>
      </w:r>
    </w:p>
    <w:p w:rsidR="00D42874" w:rsidRDefault="00D42874" w:rsidP="00D42874">
      <w:pPr>
        <w:jc w:val="left"/>
      </w:pPr>
    </w:p>
    <w:p w:rsidR="00D42874" w:rsidRDefault="00D42874" w:rsidP="00D42874">
      <w:pPr>
        <w:jc w:val="left"/>
      </w:pPr>
    </w:p>
    <w:p w:rsidR="00D42874" w:rsidRDefault="00D42874" w:rsidP="00D42874">
      <w:pPr>
        <w:jc w:val="left"/>
        <w:rPr>
          <w:b/>
        </w:rPr>
      </w:pPr>
      <w:r>
        <w:rPr>
          <w:b/>
        </w:rPr>
        <w:t>SIGNED on behalf of the Investors [</w:t>
      </w:r>
      <w:r>
        <w:rPr>
          <w:b/>
          <w:i/>
        </w:rPr>
        <w:t>by the Investor</w:t>
      </w:r>
      <w:r w:rsidR="00455006">
        <w:rPr>
          <w:b/>
          <w:i/>
        </w:rPr>
        <w:t>s'</w:t>
      </w:r>
      <w:r>
        <w:rPr>
          <w:b/>
          <w:i/>
        </w:rPr>
        <w:t xml:space="preserve"> Representative</w:t>
      </w:r>
      <w:r>
        <w:rPr>
          <w:b/>
        </w:rPr>
        <w:t>]:</w:t>
      </w:r>
    </w:p>
    <w:p w:rsidR="00D42874" w:rsidRDefault="00D42874" w:rsidP="00D42874">
      <w:pPr>
        <w:jc w:val="left"/>
        <w:rPr>
          <w:b/>
        </w:rPr>
      </w:pPr>
    </w:p>
    <w:p w:rsidR="00D42874" w:rsidRDefault="00D42874" w:rsidP="00D42874">
      <w:pPr>
        <w:jc w:val="left"/>
        <w:rPr>
          <w:b/>
        </w:rPr>
      </w:pPr>
    </w:p>
    <w:p w:rsidR="00D42874" w:rsidRDefault="00D42874" w:rsidP="00D42874">
      <w:pPr>
        <w:jc w:val="left"/>
        <w:rPr>
          <w:b/>
        </w:rPr>
      </w:pPr>
      <w:r>
        <w:rPr>
          <w:b/>
        </w:rPr>
        <w:t>Name</w:t>
      </w:r>
      <w:proofErr w:type="gramStart"/>
      <w:r>
        <w:rPr>
          <w:b/>
        </w:rPr>
        <w:t>:</w:t>
      </w:r>
      <w:r>
        <w:rPr>
          <w:b/>
        </w:rPr>
        <w:tab/>
        <w:t>……………………………………</w:t>
      </w:r>
      <w:proofErr w:type="gramEnd"/>
      <w:r>
        <w:rPr>
          <w:b/>
        </w:rPr>
        <w:tab/>
        <w:t>Name</w:t>
      </w:r>
      <w:proofErr w:type="gramStart"/>
      <w:r>
        <w:rPr>
          <w:b/>
        </w:rPr>
        <w:t>:</w:t>
      </w:r>
      <w:r>
        <w:rPr>
          <w:b/>
        </w:rPr>
        <w:tab/>
        <w:t>……………………………………</w:t>
      </w:r>
      <w:proofErr w:type="gramEnd"/>
    </w:p>
    <w:p w:rsidR="00D42874" w:rsidRDefault="00D42874" w:rsidP="00D42874">
      <w:pPr>
        <w:jc w:val="left"/>
        <w:rPr>
          <w:b/>
        </w:rPr>
      </w:pPr>
    </w:p>
    <w:p w:rsidR="00D42874" w:rsidRDefault="00D42874" w:rsidP="00D42874">
      <w:pPr>
        <w:jc w:val="left"/>
        <w:rPr>
          <w:b/>
        </w:rPr>
      </w:pPr>
    </w:p>
    <w:p w:rsidR="00D42874" w:rsidRDefault="00D42874" w:rsidP="00D42874">
      <w:pPr>
        <w:jc w:val="left"/>
        <w:rPr>
          <w:b/>
        </w:rPr>
      </w:pPr>
      <w:r>
        <w:rPr>
          <w:b/>
        </w:rPr>
        <w:t>Date</w:t>
      </w:r>
      <w:proofErr w:type="gramStart"/>
      <w:r>
        <w:rPr>
          <w:b/>
        </w:rPr>
        <w:t>:</w:t>
      </w:r>
      <w:r>
        <w:rPr>
          <w:b/>
        </w:rPr>
        <w:tab/>
        <w:t>……………………………………</w:t>
      </w:r>
      <w:proofErr w:type="gramEnd"/>
      <w:r>
        <w:rPr>
          <w:b/>
        </w:rPr>
        <w:tab/>
        <w:t>Date</w:t>
      </w:r>
      <w:proofErr w:type="gramStart"/>
      <w:r>
        <w:rPr>
          <w:b/>
        </w:rPr>
        <w:t>:</w:t>
      </w:r>
      <w:r>
        <w:rPr>
          <w:b/>
        </w:rPr>
        <w:tab/>
        <w:t>……………………………………</w:t>
      </w:r>
      <w:proofErr w:type="gramEnd"/>
    </w:p>
    <w:p w:rsidR="00D42874" w:rsidRDefault="00D42874" w:rsidP="00D42874">
      <w:pPr>
        <w:jc w:val="left"/>
        <w:rPr>
          <w:b/>
        </w:rPr>
      </w:pPr>
    </w:p>
    <w:p w:rsidR="00D42874" w:rsidRDefault="00D42874" w:rsidP="00D42874">
      <w:pPr>
        <w:jc w:val="left"/>
        <w:rPr>
          <w:b/>
        </w:rPr>
      </w:pPr>
    </w:p>
    <w:p w:rsidR="00D42874" w:rsidRDefault="00D42874" w:rsidP="00D42874">
      <w:pPr>
        <w:jc w:val="left"/>
        <w:rPr>
          <w:b/>
        </w:rPr>
      </w:pPr>
      <w:proofErr w:type="gramStart"/>
      <w:r>
        <w:rPr>
          <w:b/>
        </w:rPr>
        <w:t>Signature  …</w:t>
      </w:r>
      <w:proofErr w:type="gramEnd"/>
      <w:r>
        <w:rPr>
          <w:b/>
        </w:rPr>
        <w:t>………………………………</w:t>
      </w:r>
      <w:r>
        <w:rPr>
          <w:b/>
        </w:rPr>
        <w:tab/>
      </w:r>
      <w:proofErr w:type="gramStart"/>
      <w:r>
        <w:rPr>
          <w:b/>
        </w:rPr>
        <w:t>Signature  …</w:t>
      </w:r>
      <w:proofErr w:type="gramEnd"/>
      <w:r>
        <w:rPr>
          <w:b/>
        </w:rPr>
        <w:t>………………………………</w:t>
      </w:r>
    </w:p>
    <w:p w:rsidR="00D42874" w:rsidRDefault="00D42874" w:rsidP="00D42874">
      <w:pPr>
        <w:jc w:val="left"/>
        <w:rPr>
          <w:b/>
        </w:rPr>
      </w:pPr>
    </w:p>
    <w:p w:rsidR="00D42874" w:rsidRDefault="00D42874" w:rsidP="00D42874">
      <w:pPr>
        <w:jc w:val="left"/>
        <w:rPr>
          <w:b/>
        </w:rPr>
      </w:pPr>
    </w:p>
    <w:p w:rsidR="00D42874" w:rsidRDefault="00D42874" w:rsidP="00D42874">
      <w:pPr>
        <w:jc w:val="left"/>
        <w:rPr>
          <w:b/>
        </w:rPr>
      </w:pPr>
    </w:p>
    <w:p w:rsidR="00D42874" w:rsidRDefault="00D42874" w:rsidP="00D42874">
      <w:pPr>
        <w:jc w:val="left"/>
        <w:rPr>
          <w:b/>
        </w:rPr>
      </w:pPr>
      <w:r>
        <w:rPr>
          <w:b/>
        </w:rPr>
        <w:t>SIGNED on behalf of [</w:t>
      </w:r>
      <w:r>
        <w:rPr>
          <w:b/>
          <w:i/>
        </w:rPr>
        <w:t>insert name of Company</w:t>
      </w:r>
      <w:r>
        <w:rPr>
          <w:b/>
        </w:rPr>
        <w:t>] Limited by:</w:t>
      </w:r>
    </w:p>
    <w:p w:rsidR="00D42874" w:rsidRDefault="00D42874" w:rsidP="00D42874">
      <w:pPr>
        <w:jc w:val="left"/>
        <w:rPr>
          <w:b/>
        </w:rPr>
      </w:pPr>
    </w:p>
    <w:p w:rsidR="00D42874" w:rsidRDefault="00D42874" w:rsidP="00D42874">
      <w:pPr>
        <w:jc w:val="left"/>
        <w:rPr>
          <w:b/>
        </w:rPr>
      </w:pPr>
    </w:p>
    <w:p w:rsidR="00D42874" w:rsidRDefault="00D42874" w:rsidP="00D42874">
      <w:pPr>
        <w:ind w:right="-993"/>
        <w:jc w:val="left"/>
        <w:rPr>
          <w:b/>
        </w:rPr>
      </w:pPr>
      <w:r>
        <w:rPr>
          <w:b/>
        </w:rPr>
        <w:t>Director</w:t>
      </w:r>
      <w:r>
        <w:rPr>
          <w:b/>
        </w:rPr>
        <w:tab/>
      </w:r>
      <w:r>
        <w:rPr>
          <w:b/>
        </w:rPr>
        <w:tab/>
      </w:r>
      <w:r>
        <w:rPr>
          <w:b/>
        </w:rPr>
        <w:tab/>
      </w:r>
      <w:r>
        <w:rPr>
          <w:b/>
        </w:rPr>
        <w:tab/>
      </w:r>
      <w:r>
        <w:rPr>
          <w:b/>
        </w:rPr>
        <w:tab/>
        <w:t xml:space="preserve">Director: </w:t>
      </w:r>
    </w:p>
    <w:p w:rsidR="00D42874" w:rsidRDefault="00D42874" w:rsidP="00D42874">
      <w:pPr>
        <w:ind w:right="-993"/>
        <w:jc w:val="left"/>
        <w:rPr>
          <w:b/>
        </w:rPr>
      </w:pPr>
      <w:r>
        <w:rPr>
          <w:b/>
        </w:rPr>
        <w:tab/>
      </w:r>
      <w:r>
        <w:rPr>
          <w:b/>
        </w:rPr>
        <w:tab/>
        <w:t>……………………………..</w:t>
      </w:r>
      <w:r>
        <w:rPr>
          <w:b/>
        </w:rPr>
        <w:tab/>
      </w:r>
      <w:r>
        <w:rPr>
          <w:b/>
        </w:rPr>
        <w:tab/>
        <w:t xml:space="preserve">   </w:t>
      </w:r>
      <w:r>
        <w:rPr>
          <w:b/>
        </w:rPr>
        <w:tab/>
        <w:t>……………………….........</w:t>
      </w:r>
    </w:p>
    <w:p w:rsidR="00D42874" w:rsidRDefault="00D42874" w:rsidP="00D42874">
      <w:pPr>
        <w:ind w:right="-993"/>
        <w:jc w:val="left"/>
        <w:rPr>
          <w:b/>
        </w:rPr>
      </w:pPr>
    </w:p>
    <w:p w:rsidR="00D42874" w:rsidRDefault="00D42874" w:rsidP="00D42874">
      <w:pPr>
        <w:ind w:right="-993"/>
        <w:jc w:val="left"/>
        <w:rPr>
          <w:b/>
        </w:rPr>
      </w:pPr>
      <w:r>
        <w:rPr>
          <w:b/>
        </w:rPr>
        <w:t>Date:</w:t>
      </w:r>
      <w:r>
        <w:rPr>
          <w:b/>
        </w:rPr>
        <w:tab/>
      </w:r>
      <w:r>
        <w:rPr>
          <w:b/>
        </w:rPr>
        <w:tab/>
      </w:r>
      <w:r>
        <w:rPr>
          <w:b/>
        </w:rPr>
        <w:tab/>
      </w:r>
      <w:r>
        <w:rPr>
          <w:b/>
        </w:rPr>
        <w:tab/>
      </w:r>
      <w:r>
        <w:rPr>
          <w:b/>
        </w:rPr>
        <w:tab/>
        <w:t>Date:</w:t>
      </w:r>
    </w:p>
    <w:p w:rsidR="00D42874" w:rsidRDefault="00D42874" w:rsidP="00D42874">
      <w:pPr>
        <w:ind w:right="-993"/>
        <w:jc w:val="left"/>
        <w:rPr>
          <w:b/>
        </w:rPr>
      </w:pPr>
      <w:r>
        <w:rPr>
          <w:b/>
        </w:rPr>
        <w:tab/>
      </w:r>
      <w:r>
        <w:rPr>
          <w:b/>
        </w:rPr>
        <w:tab/>
        <w:t>……………………………..</w:t>
      </w:r>
      <w:r>
        <w:rPr>
          <w:b/>
        </w:rPr>
        <w:tab/>
      </w:r>
      <w:r>
        <w:rPr>
          <w:b/>
        </w:rPr>
        <w:tab/>
      </w:r>
      <w:r>
        <w:rPr>
          <w:b/>
        </w:rPr>
        <w:tab/>
        <w:t>…………………………......</w:t>
      </w:r>
    </w:p>
    <w:p w:rsidR="00D42874" w:rsidRDefault="00D42874" w:rsidP="00D42874">
      <w:pPr>
        <w:ind w:right="-993"/>
        <w:jc w:val="left"/>
        <w:rPr>
          <w:b/>
        </w:rPr>
      </w:pPr>
    </w:p>
    <w:p w:rsidR="00D42874" w:rsidRDefault="00D42874" w:rsidP="00D42874">
      <w:pPr>
        <w:ind w:right="-993"/>
        <w:jc w:val="left"/>
        <w:rPr>
          <w:b/>
        </w:rPr>
      </w:pPr>
      <w:r>
        <w:rPr>
          <w:b/>
        </w:rPr>
        <w:t>Signature</w:t>
      </w:r>
      <w:r>
        <w:rPr>
          <w:b/>
        </w:rPr>
        <w:tab/>
      </w:r>
      <w:r>
        <w:rPr>
          <w:b/>
        </w:rPr>
        <w:tab/>
      </w:r>
      <w:r>
        <w:rPr>
          <w:b/>
        </w:rPr>
        <w:tab/>
      </w:r>
      <w:r>
        <w:rPr>
          <w:b/>
        </w:rPr>
        <w:tab/>
        <w:t>Signature</w:t>
      </w:r>
    </w:p>
    <w:p w:rsidR="00D42874" w:rsidRDefault="00D42874" w:rsidP="00D42874">
      <w:pPr>
        <w:ind w:right="-993"/>
        <w:jc w:val="left"/>
        <w:rPr>
          <w:b/>
        </w:rPr>
      </w:pPr>
      <w:r>
        <w:rPr>
          <w:b/>
        </w:rPr>
        <w:tab/>
      </w:r>
      <w:r>
        <w:rPr>
          <w:b/>
        </w:rPr>
        <w:tab/>
        <w:t>……………………………..</w:t>
      </w:r>
      <w:r>
        <w:rPr>
          <w:b/>
        </w:rPr>
        <w:tab/>
      </w:r>
      <w:r>
        <w:rPr>
          <w:b/>
        </w:rPr>
        <w:tab/>
      </w:r>
      <w:r>
        <w:rPr>
          <w:b/>
        </w:rPr>
        <w:tab/>
        <w:t>……………………………...</w:t>
      </w:r>
    </w:p>
    <w:p w:rsidR="00D42874" w:rsidRDefault="00D42874" w:rsidP="00D42874">
      <w:pPr>
        <w:ind w:right="-993"/>
        <w:jc w:val="left"/>
        <w:rPr>
          <w:b/>
        </w:rPr>
      </w:pPr>
    </w:p>
    <w:p w:rsidR="00D42874" w:rsidRDefault="00D42874" w:rsidP="00D42874">
      <w:pPr>
        <w:ind w:right="-993"/>
        <w:jc w:val="left"/>
        <w:rPr>
          <w:b/>
        </w:rPr>
      </w:pPr>
    </w:p>
    <w:p w:rsidR="00D42874" w:rsidRDefault="00D42874" w:rsidP="00D42874">
      <w:pPr>
        <w:ind w:right="-993"/>
        <w:jc w:val="center"/>
        <w:rPr>
          <w:b/>
        </w:rPr>
      </w:pPr>
    </w:p>
    <w:p w:rsidR="00D42874" w:rsidRDefault="00D42874" w:rsidP="00D42874">
      <w:pPr>
        <w:ind w:right="-993"/>
        <w:jc w:val="center"/>
        <w:sectPr w:rsidR="00D42874" w:rsidSect="00716263">
          <w:headerReference w:type="default" r:id="rId8"/>
          <w:footerReference w:type="default" r:id="rId9"/>
          <w:headerReference w:type="first" r:id="rId10"/>
          <w:footerReference w:type="first" r:id="rId11"/>
          <w:pgSz w:w="11907" w:h="16840" w:code="9"/>
          <w:pgMar w:top="1247" w:right="1474" w:bottom="1440" w:left="1701" w:header="720" w:footer="505" w:gutter="0"/>
          <w:paperSrc w:first="265" w:other="265"/>
          <w:cols w:space="720"/>
          <w:titlePg/>
          <w:docGrid w:linePitch="286"/>
        </w:sectPr>
      </w:pPr>
      <w:r>
        <w:tab/>
      </w:r>
      <w:r>
        <w:tab/>
      </w:r>
      <w:r>
        <w:tab/>
        <w:t xml:space="preserve">    </w:t>
      </w:r>
    </w:p>
    <w:p w:rsidR="00D42874" w:rsidRDefault="00D42874" w:rsidP="00D42874">
      <w:pPr>
        <w:ind w:right="-993"/>
        <w:jc w:val="center"/>
      </w:pPr>
    </w:p>
    <w:p w:rsidR="00D42874" w:rsidRDefault="00D42874" w:rsidP="00D42874">
      <w:pPr>
        <w:ind w:right="29"/>
        <w:jc w:val="center"/>
        <w:rPr>
          <w:b/>
        </w:rPr>
      </w:pPr>
      <w:r>
        <w:rPr>
          <w:b/>
        </w:rPr>
        <w:t>APPENDIX 1</w:t>
      </w:r>
    </w:p>
    <w:p w:rsidR="00D42874" w:rsidRDefault="00D42874" w:rsidP="00D42874">
      <w:pPr>
        <w:ind w:right="29"/>
        <w:jc w:val="center"/>
        <w:rPr>
          <w:b/>
        </w:rPr>
      </w:pPr>
      <w:r>
        <w:rPr>
          <w:b/>
        </w:rPr>
        <w:t>Capitalisation Table</w:t>
      </w:r>
    </w:p>
    <w:p w:rsidR="00D42874" w:rsidRDefault="00D42874" w:rsidP="00D42874">
      <w:pPr>
        <w:ind w:right="2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223"/>
        <w:gridCol w:w="1156"/>
        <w:gridCol w:w="1466"/>
        <w:gridCol w:w="1191"/>
        <w:gridCol w:w="1091"/>
        <w:gridCol w:w="952"/>
      </w:tblGrid>
      <w:tr w:rsidR="00D42874" w:rsidRPr="009D0487" w:rsidTr="00EA7076">
        <w:tc>
          <w:tcPr>
            <w:tcW w:w="1642" w:type="dxa"/>
            <w:shd w:val="clear" w:color="auto" w:fill="auto"/>
          </w:tcPr>
          <w:p w:rsidR="00D42874" w:rsidRPr="009D0487" w:rsidRDefault="00D42874" w:rsidP="00EA7076">
            <w:pPr>
              <w:spacing w:before="60"/>
              <w:ind w:right="29"/>
              <w:jc w:val="center"/>
              <w:rPr>
                <w:b/>
              </w:rPr>
            </w:pPr>
            <w:r w:rsidRPr="009D0487">
              <w:rPr>
                <w:b/>
              </w:rPr>
              <w:t>Class of Security</w:t>
            </w:r>
          </w:p>
        </w:tc>
        <w:tc>
          <w:tcPr>
            <w:tcW w:w="2379" w:type="dxa"/>
            <w:gridSpan w:val="2"/>
            <w:shd w:val="clear" w:color="auto" w:fill="auto"/>
          </w:tcPr>
          <w:p w:rsidR="00D42874" w:rsidRPr="009D0487" w:rsidRDefault="00D42874" w:rsidP="00EA7076">
            <w:pPr>
              <w:spacing w:before="60"/>
              <w:ind w:right="29"/>
              <w:jc w:val="center"/>
              <w:rPr>
                <w:b/>
              </w:rPr>
            </w:pPr>
            <w:r w:rsidRPr="009D0487">
              <w:rPr>
                <w:b/>
              </w:rPr>
              <w:t>Pre-money (Term Sheet signing)</w:t>
            </w:r>
          </w:p>
        </w:tc>
        <w:tc>
          <w:tcPr>
            <w:tcW w:w="4700" w:type="dxa"/>
            <w:gridSpan w:val="4"/>
            <w:shd w:val="clear" w:color="auto" w:fill="auto"/>
          </w:tcPr>
          <w:p w:rsidR="00D42874" w:rsidRPr="009D0487" w:rsidRDefault="00D42874" w:rsidP="00EA7076">
            <w:pPr>
              <w:spacing w:before="60"/>
              <w:ind w:right="29"/>
              <w:jc w:val="center"/>
              <w:rPr>
                <w:b/>
              </w:rPr>
            </w:pPr>
            <w:r w:rsidRPr="009D0487">
              <w:rPr>
                <w:b/>
              </w:rPr>
              <w:t>Post-money at Target</w:t>
            </w:r>
          </w:p>
        </w:tc>
      </w:tr>
      <w:tr w:rsidR="00D42874" w:rsidRPr="009D0487" w:rsidTr="00EA7076">
        <w:tc>
          <w:tcPr>
            <w:tcW w:w="1642" w:type="dxa"/>
            <w:shd w:val="clear" w:color="auto" w:fill="auto"/>
          </w:tcPr>
          <w:p w:rsidR="00D42874" w:rsidRPr="009D0487" w:rsidRDefault="00D42874" w:rsidP="00EA7076">
            <w:pPr>
              <w:spacing w:before="60"/>
              <w:ind w:right="29"/>
              <w:jc w:val="center"/>
              <w:rPr>
                <w:b/>
              </w:rPr>
            </w:pPr>
          </w:p>
        </w:tc>
        <w:tc>
          <w:tcPr>
            <w:tcW w:w="1223" w:type="dxa"/>
            <w:shd w:val="clear" w:color="auto" w:fill="auto"/>
          </w:tcPr>
          <w:p w:rsidR="00D42874" w:rsidRPr="009D0487" w:rsidRDefault="00D42874" w:rsidP="00EA7076">
            <w:pPr>
              <w:spacing w:before="60"/>
              <w:ind w:right="29"/>
              <w:jc w:val="center"/>
              <w:rPr>
                <w:b/>
              </w:rPr>
            </w:pPr>
            <w:r w:rsidRPr="009D0487">
              <w:rPr>
                <w:b/>
              </w:rPr>
              <w:t>Shares</w:t>
            </w:r>
          </w:p>
        </w:tc>
        <w:tc>
          <w:tcPr>
            <w:tcW w:w="1156" w:type="dxa"/>
            <w:shd w:val="clear" w:color="auto" w:fill="auto"/>
          </w:tcPr>
          <w:p w:rsidR="00D42874" w:rsidRPr="009D0487" w:rsidRDefault="00D42874" w:rsidP="00EA7076">
            <w:pPr>
              <w:spacing w:before="60"/>
              <w:ind w:right="29"/>
              <w:jc w:val="center"/>
              <w:rPr>
                <w:b/>
              </w:rPr>
            </w:pPr>
            <w:r w:rsidRPr="009D0487">
              <w:rPr>
                <w:b/>
              </w:rPr>
              <w:t>%age</w:t>
            </w:r>
          </w:p>
        </w:tc>
        <w:tc>
          <w:tcPr>
            <w:tcW w:w="1466" w:type="dxa"/>
            <w:shd w:val="clear" w:color="auto" w:fill="auto"/>
          </w:tcPr>
          <w:p w:rsidR="00D42874" w:rsidRPr="009D0487" w:rsidRDefault="00D42874" w:rsidP="00EA7076">
            <w:pPr>
              <w:spacing w:before="60"/>
              <w:ind w:right="29"/>
              <w:jc w:val="center"/>
              <w:rPr>
                <w:b/>
              </w:rPr>
            </w:pPr>
            <w:r w:rsidRPr="009D0487">
              <w:rPr>
                <w:b/>
              </w:rPr>
              <w:t>Cash-in</w:t>
            </w:r>
          </w:p>
        </w:tc>
        <w:tc>
          <w:tcPr>
            <w:tcW w:w="1191" w:type="dxa"/>
            <w:shd w:val="clear" w:color="auto" w:fill="auto"/>
          </w:tcPr>
          <w:p w:rsidR="00D42874" w:rsidRPr="009D0487" w:rsidRDefault="00D42874" w:rsidP="00EA7076">
            <w:pPr>
              <w:spacing w:before="60"/>
              <w:ind w:right="29"/>
              <w:jc w:val="center"/>
              <w:rPr>
                <w:b/>
              </w:rPr>
            </w:pPr>
            <w:r w:rsidRPr="009D0487">
              <w:rPr>
                <w:b/>
              </w:rPr>
              <w:t>$ per share</w:t>
            </w:r>
          </w:p>
        </w:tc>
        <w:tc>
          <w:tcPr>
            <w:tcW w:w="1091" w:type="dxa"/>
            <w:shd w:val="clear" w:color="auto" w:fill="auto"/>
          </w:tcPr>
          <w:p w:rsidR="00D42874" w:rsidRPr="009D0487" w:rsidRDefault="00D42874" w:rsidP="00EA7076">
            <w:pPr>
              <w:spacing w:before="60"/>
              <w:ind w:right="29"/>
              <w:jc w:val="center"/>
              <w:rPr>
                <w:b/>
              </w:rPr>
            </w:pPr>
            <w:r w:rsidRPr="009D0487">
              <w:rPr>
                <w:b/>
              </w:rPr>
              <w:t>Share</w:t>
            </w:r>
          </w:p>
        </w:tc>
        <w:tc>
          <w:tcPr>
            <w:tcW w:w="952" w:type="dxa"/>
            <w:shd w:val="clear" w:color="auto" w:fill="auto"/>
          </w:tcPr>
          <w:p w:rsidR="00D42874" w:rsidRPr="009D0487" w:rsidRDefault="00D42874" w:rsidP="00EA7076">
            <w:pPr>
              <w:spacing w:before="60"/>
              <w:ind w:right="29"/>
              <w:jc w:val="center"/>
              <w:rPr>
                <w:b/>
              </w:rPr>
            </w:pPr>
            <w:r w:rsidRPr="009D0487">
              <w:rPr>
                <w:b/>
              </w:rPr>
              <w:t>%age</w:t>
            </w:r>
          </w:p>
        </w:tc>
      </w:tr>
      <w:tr w:rsidR="00D42874" w:rsidTr="00EA7076">
        <w:tc>
          <w:tcPr>
            <w:tcW w:w="1642" w:type="dxa"/>
            <w:shd w:val="clear" w:color="auto" w:fill="auto"/>
          </w:tcPr>
          <w:p w:rsidR="00D42874" w:rsidRPr="009D0487" w:rsidRDefault="00D42874" w:rsidP="00EA7076">
            <w:pPr>
              <w:spacing w:before="60"/>
              <w:ind w:right="29"/>
              <w:rPr>
                <w:b/>
              </w:rPr>
            </w:pPr>
            <w:r w:rsidRPr="009D0487">
              <w:rPr>
                <w:b/>
              </w:rPr>
              <w:t>Shares</w:t>
            </w:r>
          </w:p>
          <w:p w:rsidR="00D42874" w:rsidRPr="009D0487" w:rsidRDefault="00D42874" w:rsidP="00EA7076">
            <w:pPr>
              <w:spacing w:before="60"/>
              <w:ind w:right="29"/>
              <w:jc w:val="right"/>
              <w:rPr>
                <w:b/>
              </w:rPr>
            </w:pPr>
            <w:r w:rsidRPr="009D0487">
              <w:rPr>
                <w:b/>
              </w:rPr>
              <w:t>Founders</w:t>
            </w:r>
          </w:p>
          <w:p w:rsidR="00D42874" w:rsidRPr="009D0487" w:rsidRDefault="00380B78" w:rsidP="00380B78">
            <w:pPr>
              <w:spacing w:before="60"/>
              <w:ind w:right="29"/>
              <w:jc w:val="right"/>
              <w:rPr>
                <w:b/>
              </w:rPr>
            </w:pPr>
            <w:r>
              <w:rPr>
                <w:b/>
              </w:rPr>
              <w:t>Investor</w:t>
            </w:r>
            <w:r w:rsidR="00D42874" w:rsidRPr="009D0487">
              <w:rPr>
                <w:b/>
                <w:i/>
              </w:rPr>
              <w:t>s</w:t>
            </w:r>
          </w:p>
        </w:tc>
        <w:tc>
          <w:tcPr>
            <w:tcW w:w="1223" w:type="dxa"/>
            <w:shd w:val="clear" w:color="auto" w:fill="auto"/>
          </w:tcPr>
          <w:p w:rsidR="00D42874" w:rsidRDefault="00D42874" w:rsidP="00EA7076">
            <w:pPr>
              <w:spacing w:before="60"/>
              <w:ind w:right="29"/>
              <w:jc w:val="right"/>
            </w:pPr>
          </w:p>
          <w:p w:rsidR="00D42874" w:rsidRDefault="00D42874" w:rsidP="00EA7076">
            <w:pPr>
              <w:spacing w:before="60"/>
              <w:ind w:right="29"/>
              <w:jc w:val="left"/>
            </w:pPr>
            <w:r>
              <w:t>[        ]</w:t>
            </w:r>
          </w:p>
          <w:p w:rsidR="00D42874" w:rsidRDefault="00D42874" w:rsidP="00EA7076">
            <w:pPr>
              <w:spacing w:before="60"/>
              <w:ind w:right="29"/>
              <w:jc w:val="left"/>
            </w:pPr>
          </w:p>
        </w:tc>
        <w:tc>
          <w:tcPr>
            <w:tcW w:w="1156" w:type="dxa"/>
            <w:shd w:val="clear" w:color="auto" w:fill="auto"/>
          </w:tcPr>
          <w:p w:rsidR="00D42874" w:rsidRDefault="00D42874" w:rsidP="00EA7076">
            <w:pPr>
              <w:spacing w:before="60"/>
              <w:ind w:right="29"/>
            </w:pPr>
          </w:p>
          <w:p w:rsidR="00D42874" w:rsidRDefault="00D42874" w:rsidP="00EA7076">
            <w:pPr>
              <w:spacing w:before="60"/>
              <w:ind w:right="29"/>
            </w:pPr>
            <w:r>
              <w:t>[     ] %</w:t>
            </w:r>
          </w:p>
        </w:tc>
        <w:tc>
          <w:tcPr>
            <w:tcW w:w="1466" w:type="dxa"/>
            <w:shd w:val="clear" w:color="auto" w:fill="auto"/>
          </w:tcPr>
          <w:p w:rsidR="00D42874" w:rsidRDefault="00D42874" w:rsidP="00EA7076">
            <w:pPr>
              <w:spacing w:before="60"/>
              <w:ind w:right="29"/>
            </w:pPr>
          </w:p>
          <w:p w:rsidR="00D42874" w:rsidRDefault="00D42874" w:rsidP="00EA7076">
            <w:pPr>
              <w:spacing w:before="60"/>
              <w:ind w:right="29"/>
            </w:pPr>
            <w:r>
              <w:t>$[     ]</w:t>
            </w:r>
          </w:p>
          <w:p w:rsidR="00D42874" w:rsidRDefault="00D42874" w:rsidP="00EA7076">
            <w:pPr>
              <w:spacing w:before="60"/>
              <w:ind w:right="29"/>
            </w:pPr>
            <w:r>
              <w:t>Up to $[    ]</w:t>
            </w:r>
          </w:p>
        </w:tc>
        <w:tc>
          <w:tcPr>
            <w:tcW w:w="1191" w:type="dxa"/>
            <w:shd w:val="clear" w:color="auto" w:fill="auto"/>
          </w:tcPr>
          <w:p w:rsidR="00D42874" w:rsidRDefault="00D42874" w:rsidP="00EA7076">
            <w:pPr>
              <w:spacing w:before="60"/>
              <w:ind w:right="29"/>
            </w:pPr>
          </w:p>
          <w:p w:rsidR="00D42874" w:rsidRDefault="00D42874" w:rsidP="00EA7076">
            <w:pPr>
              <w:spacing w:before="60"/>
              <w:ind w:right="29"/>
            </w:pPr>
            <w:r>
              <w:t>[     ]</w:t>
            </w:r>
          </w:p>
          <w:p w:rsidR="00D42874" w:rsidRDefault="00D42874" w:rsidP="00EA7076">
            <w:pPr>
              <w:spacing w:before="60"/>
              <w:ind w:right="29"/>
            </w:pPr>
            <w:r>
              <w:t>[      ]</w:t>
            </w:r>
          </w:p>
        </w:tc>
        <w:tc>
          <w:tcPr>
            <w:tcW w:w="1091" w:type="dxa"/>
            <w:shd w:val="clear" w:color="auto" w:fill="auto"/>
          </w:tcPr>
          <w:p w:rsidR="00D42874" w:rsidRDefault="00D42874" w:rsidP="00EA7076">
            <w:pPr>
              <w:spacing w:before="60"/>
              <w:ind w:right="29"/>
            </w:pPr>
          </w:p>
          <w:p w:rsidR="00D42874" w:rsidRDefault="00D42874" w:rsidP="00EA7076">
            <w:pPr>
              <w:spacing w:before="60"/>
              <w:ind w:right="29"/>
            </w:pPr>
            <w:r>
              <w:t>[    ]</w:t>
            </w:r>
          </w:p>
          <w:p w:rsidR="00D42874" w:rsidRDefault="00D42874" w:rsidP="00EA7076">
            <w:pPr>
              <w:spacing w:before="60"/>
              <w:ind w:right="29"/>
            </w:pPr>
            <w:r>
              <w:t xml:space="preserve">Up to [   ] </w:t>
            </w:r>
          </w:p>
        </w:tc>
        <w:tc>
          <w:tcPr>
            <w:tcW w:w="952" w:type="dxa"/>
            <w:shd w:val="clear" w:color="auto" w:fill="auto"/>
          </w:tcPr>
          <w:p w:rsidR="00D42874" w:rsidRDefault="00D42874" w:rsidP="00EA7076">
            <w:pPr>
              <w:spacing w:before="60"/>
              <w:ind w:right="29"/>
            </w:pPr>
          </w:p>
          <w:p w:rsidR="00D42874" w:rsidRDefault="00D42874" w:rsidP="00EA7076">
            <w:pPr>
              <w:spacing w:before="60"/>
              <w:ind w:right="29"/>
            </w:pPr>
            <w:r>
              <w:t>[    ]</w:t>
            </w:r>
          </w:p>
          <w:p w:rsidR="00D42874" w:rsidRDefault="00D42874" w:rsidP="00EA7076">
            <w:pPr>
              <w:spacing w:before="60"/>
              <w:ind w:right="29"/>
            </w:pPr>
            <w:r>
              <w:t>[    ]</w:t>
            </w:r>
          </w:p>
        </w:tc>
      </w:tr>
      <w:tr w:rsidR="00D42874" w:rsidTr="00EA7076">
        <w:tc>
          <w:tcPr>
            <w:tcW w:w="1642" w:type="dxa"/>
            <w:shd w:val="clear" w:color="auto" w:fill="auto"/>
          </w:tcPr>
          <w:p w:rsidR="00D42874" w:rsidRPr="009D0487" w:rsidRDefault="00D42874" w:rsidP="00EA7076">
            <w:pPr>
              <w:spacing w:before="60"/>
              <w:ind w:right="29"/>
              <w:rPr>
                <w:b/>
              </w:rPr>
            </w:pPr>
            <w:r w:rsidRPr="009D0487">
              <w:rPr>
                <w:b/>
              </w:rPr>
              <w:t>Options</w:t>
            </w:r>
          </w:p>
          <w:p w:rsidR="00D42874" w:rsidRPr="009D0487" w:rsidRDefault="00D42874" w:rsidP="00EA7076">
            <w:pPr>
              <w:spacing w:before="60"/>
              <w:ind w:right="29"/>
              <w:jc w:val="right"/>
              <w:rPr>
                <w:b/>
              </w:rPr>
            </w:pPr>
            <w:r w:rsidRPr="009D0487">
              <w:rPr>
                <w:b/>
              </w:rPr>
              <w:t>ESOP Others?</w:t>
            </w:r>
          </w:p>
          <w:p w:rsidR="00D42874" w:rsidRDefault="00D42874" w:rsidP="00EA7076">
            <w:pPr>
              <w:spacing w:before="60"/>
              <w:ind w:right="29"/>
              <w:jc w:val="right"/>
            </w:pPr>
          </w:p>
        </w:tc>
        <w:tc>
          <w:tcPr>
            <w:tcW w:w="1223" w:type="dxa"/>
            <w:shd w:val="clear" w:color="auto" w:fill="auto"/>
          </w:tcPr>
          <w:p w:rsidR="00D42874" w:rsidRDefault="00D42874" w:rsidP="00EA7076">
            <w:pPr>
              <w:spacing w:before="60"/>
              <w:ind w:right="29"/>
              <w:jc w:val="right"/>
            </w:pPr>
          </w:p>
          <w:p w:rsidR="00D42874" w:rsidRDefault="00D42874" w:rsidP="00EA7076">
            <w:pPr>
              <w:spacing w:before="60"/>
              <w:ind w:right="29"/>
              <w:jc w:val="left"/>
            </w:pPr>
            <w:r>
              <w:t>[        ]</w:t>
            </w:r>
          </w:p>
          <w:p w:rsidR="00D42874" w:rsidRDefault="00D42874" w:rsidP="00EA7076">
            <w:pPr>
              <w:spacing w:before="60"/>
              <w:ind w:right="29"/>
              <w:jc w:val="left"/>
            </w:pPr>
            <w:r>
              <w:t>[        ]</w:t>
            </w:r>
          </w:p>
          <w:p w:rsidR="00D42874" w:rsidRDefault="00D42874" w:rsidP="00EA7076">
            <w:pPr>
              <w:spacing w:before="60"/>
              <w:ind w:right="29"/>
              <w:jc w:val="left"/>
            </w:pPr>
          </w:p>
        </w:tc>
        <w:tc>
          <w:tcPr>
            <w:tcW w:w="1156" w:type="dxa"/>
            <w:shd w:val="clear" w:color="auto" w:fill="auto"/>
          </w:tcPr>
          <w:p w:rsidR="00D42874" w:rsidRDefault="00D42874" w:rsidP="00EA7076">
            <w:pPr>
              <w:spacing w:before="60"/>
              <w:ind w:right="29"/>
            </w:pPr>
          </w:p>
          <w:p w:rsidR="00D42874" w:rsidRDefault="00D42874" w:rsidP="00EA7076">
            <w:pPr>
              <w:spacing w:before="60"/>
              <w:ind w:right="29"/>
            </w:pPr>
            <w:r>
              <w:t>[     ]</w:t>
            </w:r>
          </w:p>
          <w:p w:rsidR="00D42874" w:rsidRDefault="00D42874" w:rsidP="00EA7076">
            <w:pPr>
              <w:spacing w:before="60"/>
              <w:ind w:right="29"/>
            </w:pPr>
            <w:r>
              <w:t>[     ]</w:t>
            </w:r>
          </w:p>
          <w:p w:rsidR="00D42874" w:rsidRDefault="00D42874" w:rsidP="00EA7076">
            <w:pPr>
              <w:spacing w:before="60"/>
              <w:ind w:right="29"/>
            </w:pPr>
          </w:p>
        </w:tc>
        <w:tc>
          <w:tcPr>
            <w:tcW w:w="1466" w:type="dxa"/>
            <w:shd w:val="clear" w:color="auto" w:fill="auto"/>
          </w:tcPr>
          <w:p w:rsidR="00D42874" w:rsidRDefault="00D42874" w:rsidP="00EA7076">
            <w:pPr>
              <w:spacing w:before="60"/>
              <w:ind w:right="29"/>
            </w:pPr>
          </w:p>
        </w:tc>
        <w:tc>
          <w:tcPr>
            <w:tcW w:w="1191" w:type="dxa"/>
            <w:shd w:val="clear" w:color="auto" w:fill="auto"/>
          </w:tcPr>
          <w:p w:rsidR="00D42874" w:rsidRDefault="00D42874" w:rsidP="00EA7076">
            <w:pPr>
              <w:spacing w:before="60"/>
              <w:ind w:right="29"/>
            </w:pPr>
          </w:p>
        </w:tc>
        <w:tc>
          <w:tcPr>
            <w:tcW w:w="1091" w:type="dxa"/>
            <w:shd w:val="clear" w:color="auto" w:fill="auto"/>
          </w:tcPr>
          <w:p w:rsidR="00D42874" w:rsidRDefault="00D42874" w:rsidP="00EA7076">
            <w:pPr>
              <w:spacing w:before="60"/>
              <w:ind w:right="29"/>
            </w:pPr>
          </w:p>
          <w:p w:rsidR="00D42874" w:rsidRDefault="00D42874" w:rsidP="00EA7076">
            <w:pPr>
              <w:spacing w:before="60"/>
              <w:ind w:right="29"/>
            </w:pPr>
            <w:r>
              <w:t>[     ]</w:t>
            </w:r>
          </w:p>
          <w:p w:rsidR="00D42874" w:rsidRDefault="00D42874" w:rsidP="00EA7076">
            <w:pPr>
              <w:spacing w:before="60"/>
              <w:ind w:right="29"/>
            </w:pPr>
            <w:r>
              <w:t>[     ]</w:t>
            </w:r>
          </w:p>
          <w:p w:rsidR="00D42874" w:rsidRDefault="00D42874" w:rsidP="00EA7076">
            <w:pPr>
              <w:spacing w:before="60"/>
              <w:ind w:right="29"/>
            </w:pPr>
          </w:p>
        </w:tc>
        <w:tc>
          <w:tcPr>
            <w:tcW w:w="952" w:type="dxa"/>
            <w:shd w:val="clear" w:color="auto" w:fill="auto"/>
          </w:tcPr>
          <w:p w:rsidR="00D42874" w:rsidRDefault="00D42874" w:rsidP="00EA7076">
            <w:pPr>
              <w:spacing w:before="60"/>
              <w:ind w:right="29"/>
            </w:pPr>
          </w:p>
          <w:p w:rsidR="00D42874" w:rsidRDefault="00D42874" w:rsidP="00EA7076">
            <w:pPr>
              <w:spacing w:before="60"/>
              <w:ind w:right="29"/>
            </w:pPr>
            <w:r>
              <w:t>[     ]</w:t>
            </w:r>
          </w:p>
          <w:p w:rsidR="00D42874" w:rsidRDefault="00D42874" w:rsidP="00EA7076">
            <w:pPr>
              <w:spacing w:before="60"/>
              <w:ind w:right="29"/>
            </w:pPr>
            <w:r>
              <w:t>[     ]</w:t>
            </w:r>
          </w:p>
        </w:tc>
      </w:tr>
      <w:tr w:rsidR="00D42874" w:rsidRPr="009D0487" w:rsidTr="00EA7076">
        <w:tc>
          <w:tcPr>
            <w:tcW w:w="1642" w:type="dxa"/>
            <w:shd w:val="clear" w:color="auto" w:fill="auto"/>
          </w:tcPr>
          <w:p w:rsidR="00D42874" w:rsidRPr="009D0487" w:rsidRDefault="00D42874" w:rsidP="00EA7076">
            <w:pPr>
              <w:spacing w:before="60"/>
              <w:ind w:right="29"/>
              <w:jc w:val="left"/>
              <w:rPr>
                <w:b/>
              </w:rPr>
            </w:pPr>
            <w:r w:rsidRPr="009D0487">
              <w:rPr>
                <w:b/>
              </w:rPr>
              <w:t>Total fully-diluted</w:t>
            </w:r>
          </w:p>
        </w:tc>
        <w:tc>
          <w:tcPr>
            <w:tcW w:w="1223" w:type="dxa"/>
            <w:shd w:val="clear" w:color="auto" w:fill="auto"/>
          </w:tcPr>
          <w:p w:rsidR="00D42874" w:rsidRDefault="00D42874" w:rsidP="00EA7076">
            <w:pPr>
              <w:spacing w:before="60"/>
              <w:ind w:right="29"/>
              <w:jc w:val="right"/>
            </w:pPr>
          </w:p>
        </w:tc>
        <w:tc>
          <w:tcPr>
            <w:tcW w:w="1156" w:type="dxa"/>
            <w:shd w:val="clear" w:color="auto" w:fill="auto"/>
          </w:tcPr>
          <w:p w:rsidR="00D42874" w:rsidRPr="009D0487" w:rsidRDefault="00D42874" w:rsidP="00EA7076">
            <w:pPr>
              <w:spacing w:before="60"/>
              <w:ind w:right="29"/>
              <w:rPr>
                <w:b/>
              </w:rPr>
            </w:pPr>
            <w:r w:rsidRPr="009D0487">
              <w:rPr>
                <w:b/>
              </w:rPr>
              <w:t>100%</w:t>
            </w:r>
          </w:p>
        </w:tc>
        <w:tc>
          <w:tcPr>
            <w:tcW w:w="1466" w:type="dxa"/>
            <w:shd w:val="clear" w:color="auto" w:fill="auto"/>
          </w:tcPr>
          <w:p w:rsidR="00D42874" w:rsidRPr="009D0487" w:rsidRDefault="00D42874" w:rsidP="00EA7076">
            <w:pPr>
              <w:spacing w:before="60"/>
              <w:ind w:right="29"/>
              <w:rPr>
                <w:b/>
              </w:rPr>
            </w:pPr>
            <w:r w:rsidRPr="009D0487">
              <w:rPr>
                <w:b/>
              </w:rPr>
              <w:t>[$            ]</w:t>
            </w:r>
          </w:p>
        </w:tc>
        <w:tc>
          <w:tcPr>
            <w:tcW w:w="1191" w:type="dxa"/>
            <w:shd w:val="clear" w:color="auto" w:fill="auto"/>
          </w:tcPr>
          <w:p w:rsidR="00D42874" w:rsidRDefault="00D42874" w:rsidP="00EA7076">
            <w:pPr>
              <w:spacing w:before="60"/>
              <w:ind w:right="29"/>
            </w:pPr>
          </w:p>
        </w:tc>
        <w:tc>
          <w:tcPr>
            <w:tcW w:w="1091" w:type="dxa"/>
            <w:shd w:val="clear" w:color="auto" w:fill="auto"/>
          </w:tcPr>
          <w:p w:rsidR="00D42874" w:rsidRPr="009D0487" w:rsidRDefault="00D42874" w:rsidP="00EA7076">
            <w:pPr>
              <w:spacing w:before="60"/>
              <w:ind w:right="29"/>
              <w:rPr>
                <w:b/>
              </w:rPr>
            </w:pPr>
          </w:p>
        </w:tc>
        <w:tc>
          <w:tcPr>
            <w:tcW w:w="952" w:type="dxa"/>
            <w:shd w:val="clear" w:color="auto" w:fill="auto"/>
          </w:tcPr>
          <w:p w:rsidR="00D42874" w:rsidRPr="009D0487" w:rsidRDefault="00D42874" w:rsidP="00EA7076">
            <w:pPr>
              <w:spacing w:before="60"/>
              <w:ind w:right="29"/>
              <w:rPr>
                <w:b/>
              </w:rPr>
            </w:pPr>
            <w:r w:rsidRPr="009D0487">
              <w:rPr>
                <w:b/>
              </w:rPr>
              <w:t>100%</w:t>
            </w:r>
          </w:p>
        </w:tc>
      </w:tr>
    </w:tbl>
    <w:p w:rsidR="00D42874" w:rsidRDefault="00D42874" w:rsidP="00D42874">
      <w:pPr>
        <w:ind w:right="29"/>
        <w:jc w:val="center"/>
        <w:rPr>
          <w:b/>
        </w:rPr>
      </w:pPr>
    </w:p>
    <w:p w:rsidR="00D42874" w:rsidRDefault="00D42874" w:rsidP="00D42874">
      <w:pPr>
        <w:ind w:right="29"/>
        <w:jc w:val="center"/>
        <w:rPr>
          <w:b/>
        </w:rPr>
        <w:sectPr w:rsidR="00D42874" w:rsidSect="00716263">
          <w:pgSz w:w="11907" w:h="16840" w:code="9"/>
          <w:pgMar w:top="1247" w:right="1474" w:bottom="1440" w:left="1701" w:header="720" w:footer="505" w:gutter="0"/>
          <w:paperSrc w:first="265" w:other="265"/>
          <w:cols w:space="720"/>
          <w:titlePg/>
          <w:docGrid w:linePitch="286"/>
        </w:sectPr>
      </w:pPr>
    </w:p>
    <w:p w:rsidR="00D42874" w:rsidRDefault="00D42874" w:rsidP="00D42874">
      <w:pPr>
        <w:ind w:right="29"/>
        <w:jc w:val="center"/>
        <w:rPr>
          <w:b/>
        </w:rPr>
      </w:pPr>
    </w:p>
    <w:p w:rsidR="00D42874" w:rsidRDefault="00D42874" w:rsidP="00D42874">
      <w:pPr>
        <w:ind w:right="75"/>
        <w:jc w:val="center"/>
        <w:rPr>
          <w:b/>
        </w:rPr>
      </w:pPr>
      <w:r>
        <w:rPr>
          <w:b/>
        </w:rPr>
        <w:t>APPENDIX 2</w:t>
      </w:r>
    </w:p>
    <w:p w:rsidR="00D42874" w:rsidRDefault="00D42874" w:rsidP="00D42874">
      <w:pPr>
        <w:ind w:right="75"/>
        <w:jc w:val="center"/>
        <w:rPr>
          <w:b/>
        </w:rPr>
      </w:pPr>
      <w:r>
        <w:rPr>
          <w:b/>
        </w:rPr>
        <w:t>Committed Investors</w:t>
      </w:r>
    </w:p>
    <w:p w:rsidR="00D42874" w:rsidRDefault="00D42874" w:rsidP="00D42874">
      <w:pPr>
        <w:ind w:right="-993"/>
        <w:jc w:val="center"/>
        <w:rPr>
          <w:b/>
        </w:rPr>
      </w:pPr>
    </w:p>
    <w:p w:rsidR="00D42874" w:rsidRDefault="00D42874" w:rsidP="00D42874">
      <w:pPr>
        <w:ind w:right="-993"/>
        <w:jc w:val="center"/>
        <w:rPr>
          <w:b/>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2801"/>
      </w:tblGrid>
      <w:tr w:rsidR="00D42874" w:rsidRPr="009D0487" w:rsidTr="003730B0">
        <w:tc>
          <w:tcPr>
            <w:tcW w:w="5433" w:type="dxa"/>
            <w:shd w:val="clear" w:color="auto" w:fill="auto"/>
          </w:tcPr>
          <w:p w:rsidR="00D42874" w:rsidRPr="009D0487" w:rsidRDefault="00D42874" w:rsidP="00EA7076">
            <w:pPr>
              <w:ind w:right="-8"/>
              <w:jc w:val="center"/>
              <w:rPr>
                <w:b/>
              </w:rPr>
            </w:pPr>
            <w:r w:rsidRPr="009D0487">
              <w:rPr>
                <w:b/>
              </w:rPr>
              <w:t xml:space="preserve">Investor </w:t>
            </w:r>
          </w:p>
        </w:tc>
        <w:tc>
          <w:tcPr>
            <w:tcW w:w="2801" w:type="dxa"/>
            <w:shd w:val="clear" w:color="auto" w:fill="auto"/>
          </w:tcPr>
          <w:p w:rsidR="00D42874" w:rsidRPr="009D0487" w:rsidRDefault="00D42874" w:rsidP="00EA7076">
            <w:pPr>
              <w:ind w:right="-57"/>
              <w:jc w:val="center"/>
              <w:rPr>
                <w:b/>
              </w:rPr>
            </w:pPr>
            <w:r w:rsidRPr="009D0487">
              <w:rPr>
                <w:b/>
              </w:rPr>
              <w:t>Amount</w:t>
            </w:r>
          </w:p>
        </w:tc>
      </w:tr>
      <w:tr w:rsidR="00D42874" w:rsidRPr="009D0487" w:rsidTr="003730B0">
        <w:tc>
          <w:tcPr>
            <w:tcW w:w="5433" w:type="dxa"/>
            <w:shd w:val="clear" w:color="auto" w:fill="auto"/>
          </w:tcPr>
          <w:p w:rsidR="00D42874" w:rsidRPr="009D0487" w:rsidRDefault="00D42874" w:rsidP="00EA7076">
            <w:pPr>
              <w:ind w:right="-8"/>
              <w:jc w:val="center"/>
              <w:rPr>
                <w:b/>
              </w:rPr>
            </w:pPr>
            <w:r>
              <w:t>[</w:t>
            </w:r>
            <w:r w:rsidRPr="009D0487">
              <w:rPr>
                <w:b/>
                <w:i/>
              </w:rPr>
              <w:t>insert investor details</w:t>
            </w:r>
            <w:r>
              <w:t>]</w:t>
            </w:r>
          </w:p>
        </w:tc>
        <w:tc>
          <w:tcPr>
            <w:tcW w:w="2801" w:type="dxa"/>
            <w:shd w:val="clear" w:color="auto" w:fill="auto"/>
          </w:tcPr>
          <w:p w:rsidR="00D42874" w:rsidRDefault="00D42874" w:rsidP="00EA7076">
            <w:pPr>
              <w:ind w:right="-57"/>
              <w:jc w:val="center"/>
            </w:pPr>
            <w:r>
              <w:t>$[</w:t>
            </w:r>
            <w:r w:rsidRPr="009D0487">
              <w:rPr>
                <w:b/>
                <w:i/>
              </w:rPr>
              <w:t>insert amount</w:t>
            </w:r>
            <w:r>
              <w:t>]</w:t>
            </w:r>
          </w:p>
        </w:tc>
      </w:tr>
      <w:tr w:rsidR="00D42874" w:rsidRPr="009D0487" w:rsidTr="003730B0">
        <w:tc>
          <w:tcPr>
            <w:tcW w:w="5433" w:type="dxa"/>
            <w:shd w:val="clear" w:color="auto" w:fill="auto"/>
          </w:tcPr>
          <w:p w:rsidR="00D42874" w:rsidRPr="009D0487" w:rsidRDefault="00D42874" w:rsidP="00EA7076">
            <w:pPr>
              <w:ind w:right="-8"/>
              <w:jc w:val="center"/>
              <w:rPr>
                <w:b/>
              </w:rPr>
            </w:pPr>
            <w:r>
              <w:t>[</w:t>
            </w:r>
            <w:r w:rsidRPr="009D0487">
              <w:rPr>
                <w:b/>
                <w:i/>
              </w:rPr>
              <w:t>insert investor details</w:t>
            </w:r>
            <w:r>
              <w:t>]</w:t>
            </w:r>
          </w:p>
        </w:tc>
        <w:tc>
          <w:tcPr>
            <w:tcW w:w="2801" w:type="dxa"/>
            <w:shd w:val="clear" w:color="auto" w:fill="auto"/>
          </w:tcPr>
          <w:p w:rsidR="00D42874" w:rsidRPr="009D0487" w:rsidRDefault="00D42874" w:rsidP="00EA7076">
            <w:pPr>
              <w:ind w:right="-57"/>
              <w:jc w:val="center"/>
              <w:rPr>
                <w:b/>
              </w:rPr>
            </w:pPr>
            <w:r>
              <w:t>$[</w:t>
            </w:r>
            <w:r w:rsidRPr="009D0487">
              <w:rPr>
                <w:b/>
                <w:i/>
              </w:rPr>
              <w:t>insert amount</w:t>
            </w:r>
            <w:r>
              <w:t>]</w:t>
            </w:r>
          </w:p>
        </w:tc>
      </w:tr>
      <w:tr w:rsidR="00D42874" w:rsidRPr="009D0487" w:rsidTr="003730B0">
        <w:tc>
          <w:tcPr>
            <w:tcW w:w="5433" w:type="dxa"/>
            <w:shd w:val="clear" w:color="auto" w:fill="auto"/>
          </w:tcPr>
          <w:p w:rsidR="00D42874" w:rsidRPr="009D0487" w:rsidRDefault="00D42874" w:rsidP="00EA7076">
            <w:pPr>
              <w:ind w:right="-8"/>
              <w:jc w:val="center"/>
              <w:rPr>
                <w:b/>
              </w:rPr>
            </w:pPr>
            <w:r>
              <w:t>[</w:t>
            </w:r>
            <w:r w:rsidRPr="009D0487">
              <w:rPr>
                <w:b/>
                <w:i/>
              </w:rPr>
              <w:t>insert investor details</w:t>
            </w:r>
            <w:r>
              <w:t>]</w:t>
            </w:r>
          </w:p>
        </w:tc>
        <w:tc>
          <w:tcPr>
            <w:tcW w:w="2801" w:type="dxa"/>
            <w:shd w:val="clear" w:color="auto" w:fill="auto"/>
          </w:tcPr>
          <w:p w:rsidR="00D42874" w:rsidRPr="009D0487" w:rsidRDefault="00D42874" w:rsidP="00EA7076">
            <w:pPr>
              <w:ind w:right="-57"/>
              <w:jc w:val="center"/>
              <w:rPr>
                <w:b/>
              </w:rPr>
            </w:pPr>
            <w:r>
              <w:t>$[</w:t>
            </w:r>
            <w:r w:rsidRPr="009D0487">
              <w:rPr>
                <w:b/>
                <w:i/>
              </w:rPr>
              <w:t>insert amount</w:t>
            </w:r>
            <w:r>
              <w:t>]</w:t>
            </w:r>
          </w:p>
        </w:tc>
      </w:tr>
      <w:tr w:rsidR="00D42874" w:rsidRPr="009D0487" w:rsidTr="003730B0">
        <w:tc>
          <w:tcPr>
            <w:tcW w:w="5433" w:type="dxa"/>
            <w:shd w:val="clear" w:color="auto" w:fill="auto"/>
          </w:tcPr>
          <w:p w:rsidR="00D42874" w:rsidRPr="009D0487" w:rsidRDefault="00D42874" w:rsidP="00EA7076">
            <w:pPr>
              <w:ind w:right="-8"/>
              <w:jc w:val="center"/>
              <w:rPr>
                <w:b/>
              </w:rPr>
            </w:pPr>
            <w:r>
              <w:t>[</w:t>
            </w:r>
            <w:r w:rsidRPr="009D0487">
              <w:rPr>
                <w:b/>
                <w:i/>
              </w:rPr>
              <w:t>insert investor details</w:t>
            </w:r>
            <w:r>
              <w:t>]</w:t>
            </w:r>
          </w:p>
        </w:tc>
        <w:tc>
          <w:tcPr>
            <w:tcW w:w="2801" w:type="dxa"/>
            <w:shd w:val="clear" w:color="auto" w:fill="auto"/>
          </w:tcPr>
          <w:p w:rsidR="00D42874" w:rsidRPr="009D0487" w:rsidRDefault="00D42874" w:rsidP="00EA7076">
            <w:pPr>
              <w:ind w:right="-57"/>
              <w:jc w:val="center"/>
              <w:rPr>
                <w:b/>
              </w:rPr>
            </w:pPr>
            <w:r>
              <w:t>$[</w:t>
            </w:r>
            <w:r w:rsidRPr="009D0487">
              <w:rPr>
                <w:b/>
                <w:i/>
              </w:rPr>
              <w:t>insert amount</w:t>
            </w:r>
            <w:r>
              <w:t>]</w:t>
            </w:r>
          </w:p>
        </w:tc>
      </w:tr>
      <w:tr w:rsidR="00D42874" w:rsidRPr="009D0487" w:rsidTr="003730B0">
        <w:tc>
          <w:tcPr>
            <w:tcW w:w="5433" w:type="dxa"/>
            <w:shd w:val="clear" w:color="auto" w:fill="auto"/>
          </w:tcPr>
          <w:p w:rsidR="00D42874" w:rsidRPr="009D0487" w:rsidRDefault="00D42874" w:rsidP="00EA7076">
            <w:pPr>
              <w:jc w:val="center"/>
              <w:rPr>
                <w:b/>
              </w:rPr>
            </w:pPr>
            <w:r>
              <w:t>[</w:t>
            </w:r>
            <w:r w:rsidRPr="009D0487">
              <w:rPr>
                <w:b/>
                <w:i/>
              </w:rPr>
              <w:t>insert investor details</w:t>
            </w:r>
            <w:r>
              <w:t>]</w:t>
            </w:r>
          </w:p>
        </w:tc>
        <w:tc>
          <w:tcPr>
            <w:tcW w:w="2801" w:type="dxa"/>
            <w:shd w:val="clear" w:color="auto" w:fill="auto"/>
          </w:tcPr>
          <w:p w:rsidR="00D42874" w:rsidRPr="009D0487" w:rsidRDefault="00D42874" w:rsidP="00EA7076">
            <w:pPr>
              <w:ind w:right="-57"/>
              <w:jc w:val="center"/>
              <w:rPr>
                <w:b/>
              </w:rPr>
            </w:pPr>
            <w:r>
              <w:t>$[</w:t>
            </w:r>
            <w:r w:rsidRPr="009D0487">
              <w:rPr>
                <w:b/>
                <w:i/>
              </w:rPr>
              <w:t>insert amount</w:t>
            </w:r>
            <w:r>
              <w:t>]</w:t>
            </w:r>
          </w:p>
        </w:tc>
      </w:tr>
    </w:tbl>
    <w:p w:rsidR="00D42874" w:rsidRDefault="00D42874" w:rsidP="00D42874">
      <w:pPr>
        <w:ind w:right="-993"/>
        <w:jc w:val="center"/>
        <w:rPr>
          <w:b/>
        </w:rPr>
      </w:pPr>
    </w:p>
    <w:p w:rsidR="00D42874" w:rsidRDefault="00D42874" w:rsidP="00D42874">
      <w:pPr>
        <w:ind w:right="-993"/>
        <w:jc w:val="center"/>
      </w:pPr>
    </w:p>
    <w:p w:rsidR="00D42874" w:rsidRDefault="00D42874" w:rsidP="00D42874"/>
    <w:p w:rsidR="00D42874" w:rsidRDefault="00D42874" w:rsidP="00D42874"/>
    <w:p w:rsidR="00D42874" w:rsidRDefault="00D42874" w:rsidP="00D42874"/>
    <w:p w:rsidR="00D42874" w:rsidRDefault="00D42874" w:rsidP="00D42874"/>
    <w:p w:rsidR="006C626C" w:rsidRDefault="006C626C" w:rsidP="00D42874">
      <w:pPr>
        <w:sectPr w:rsidR="006C626C" w:rsidSect="003730B0">
          <w:headerReference w:type="even" r:id="rId12"/>
          <w:headerReference w:type="default" r:id="rId13"/>
          <w:footerReference w:type="even" r:id="rId14"/>
          <w:footerReference w:type="default" r:id="rId15"/>
          <w:headerReference w:type="first" r:id="rId16"/>
          <w:footerReference w:type="first" r:id="rId17"/>
          <w:pgSz w:w="11906" w:h="16838" w:code="9"/>
          <w:pgMar w:top="1440" w:right="1701" w:bottom="1440" w:left="1701" w:header="709" w:footer="454" w:gutter="0"/>
          <w:paperSrc w:first="265" w:other="265"/>
          <w:cols w:space="708"/>
          <w:titlePg/>
          <w:docGrid w:linePitch="360"/>
        </w:sectPr>
      </w:pPr>
    </w:p>
    <w:p w:rsidR="00D42874" w:rsidRPr="007F3364" w:rsidRDefault="006C626C" w:rsidP="007F3364">
      <w:pPr>
        <w:jc w:val="center"/>
        <w:rPr>
          <w:b/>
        </w:rPr>
      </w:pPr>
      <w:r w:rsidRPr="007F3364">
        <w:rPr>
          <w:b/>
        </w:rPr>
        <w:lastRenderedPageBreak/>
        <w:t>APPENDIX 3</w:t>
      </w:r>
    </w:p>
    <w:p w:rsidR="006C626C" w:rsidRDefault="006C626C" w:rsidP="007F3364">
      <w:pPr>
        <w:jc w:val="center"/>
      </w:pPr>
    </w:p>
    <w:p w:rsidR="006C626C" w:rsidRPr="007F3364" w:rsidRDefault="00A61697" w:rsidP="007F3364">
      <w:pPr>
        <w:jc w:val="center"/>
        <w:rPr>
          <w:b/>
        </w:rPr>
      </w:pPr>
      <w:r>
        <w:rPr>
          <w:b/>
        </w:rPr>
        <w:t xml:space="preserve">NZVIF </w:t>
      </w:r>
      <w:r w:rsidR="006C626C" w:rsidRPr="007F3364">
        <w:rPr>
          <w:b/>
        </w:rPr>
        <w:t xml:space="preserve">Specific </w:t>
      </w:r>
      <w:r>
        <w:rPr>
          <w:b/>
        </w:rPr>
        <w:t>Provisions</w:t>
      </w:r>
    </w:p>
    <w:p w:rsidR="00D42874" w:rsidRDefault="00D42874" w:rsidP="00D42874"/>
    <w:tbl>
      <w:tblPr>
        <w:tblW w:w="9589" w:type="dxa"/>
        <w:tblInd w:w="108" w:type="dxa"/>
        <w:tblLook w:val="01E0" w:firstRow="1" w:lastRow="1" w:firstColumn="1" w:lastColumn="1" w:noHBand="0" w:noVBand="0"/>
      </w:tblPr>
      <w:tblGrid>
        <w:gridCol w:w="2814"/>
        <w:gridCol w:w="6775"/>
      </w:tblGrid>
      <w:tr w:rsidR="006C626C" w:rsidTr="007E1EB2">
        <w:tc>
          <w:tcPr>
            <w:tcW w:w="2814" w:type="dxa"/>
            <w:shd w:val="clear" w:color="auto" w:fill="auto"/>
          </w:tcPr>
          <w:p w:rsidR="006C626C" w:rsidRPr="009D0487" w:rsidRDefault="006C626C" w:rsidP="007E1EB2">
            <w:pPr>
              <w:keepNext/>
              <w:jc w:val="left"/>
              <w:rPr>
                <w:b/>
              </w:rPr>
            </w:pPr>
            <w:r w:rsidRPr="009D0487">
              <w:rPr>
                <w:b/>
              </w:rPr>
              <w:t>Investor Representative</w:t>
            </w:r>
          </w:p>
        </w:tc>
        <w:tc>
          <w:tcPr>
            <w:tcW w:w="6775" w:type="dxa"/>
            <w:shd w:val="clear" w:color="auto" w:fill="auto"/>
          </w:tcPr>
          <w:p w:rsidR="006C626C" w:rsidRDefault="006C626C" w:rsidP="007E1EB2">
            <w:r>
              <w:t>NZVIF may appoint an Investor Representative to exercise NZVIF's rights under the Investment Agreement.</w:t>
            </w:r>
          </w:p>
          <w:p w:rsidR="006C626C" w:rsidRDefault="006C626C" w:rsidP="007E1EB2"/>
        </w:tc>
      </w:tr>
      <w:tr w:rsidR="006C626C" w:rsidTr="007E1EB2">
        <w:tc>
          <w:tcPr>
            <w:tcW w:w="2814" w:type="dxa"/>
            <w:shd w:val="clear" w:color="auto" w:fill="auto"/>
          </w:tcPr>
          <w:p w:rsidR="006C626C" w:rsidRPr="009D0487" w:rsidRDefault="006B4430" w:rsidP="007E1EB2">
            <w:pPr>
              <w:keepNext/>
              <w:jc w:val="left"/>
              <w:rPr>
                <w:b/>
              </w:rPr>
            </w:pPr>
            <w:r>
              <w:rPr>
                <w:b/>
              </w:rPr>
              <w:t>Prohibited Business</w:t>
            </w:r>
          </w:p>
        </w:tc>
        <w:tc>
          <w:tcPr>
            <w:tcW w:w="6775" w:type="dxa"/>
            <w:shd w:val="clear" w:color="auto" w:fill="auto"/>
          </w:tcPr>
          <w:p w:rsidR="006C626C" w:rsidRDefault="006C626C" w:rsidP="007F3364">
            <w:r>
              <w:t>The Company is an "eligible" company in terms of NZ</w:t>
            </w:r>
            <w:r w:rsidR="006B4430">
              <w:t>VIF's investment mandate</w:t>
            </w:r>
            <w:r w:rsidR="007F3364">
              <w:t>.</w:t>
            </w:r>
            <w:r w:rsidR="006B4430">
              <w:t xml:space="preserve"> </w:t>
            </w:r>
          </w:p>
          <w:p w:rsidR="006C626C" w:rsidRDefault="006C626C" w:rsidP="007E1EB2"/>
        </w:tc>
      </w:tr>
      <w:tr w:rsidR="006B4430" w:rsidTr="007E1EB2">
        <w:tc>
          <w:tcPr>
            <w:tcW w:w="2814" w:type="dxa"/>
            <w:shd w:val="clear" w:color="auto" w:fill="auto"/>
          </w:tcPr>
          <w:p w:rsidR="006B4430" w:rsidRDefault="006B4430" w:rsidP="007E1EB2">
            <w:pPr>
              <w:keepNext/>
              <w:jc w:val="left"/>
              <w:rPr>
                <w:b/>
              </w:rPr>
            </w:pPr>
            <w:r w:rsidRPr="009D0487">
              <w:rPr>
                <w:b/>
              </w:rPr>
              <w:t>Investors' Co-Sale Rights</w:t>
            </w:r>
          </w:p>
        </w:tc>
        <w:tc>
          <w:tcPr>
            <w:tcW w:w="6775" w:type="dxa"/>
            <w:shd w:val="clear" w:color="auto" w:fill="auto"/>
          </w:tcPr>
          <w:p w:rsidR="006B4430" w:rsidRDefault="006B4430" w:rsidP="007E1EB2">
            <w:r>
              <w:t>Co-sale rights will apply such that an Investor</w:t>
            </w:r>
            <w:r w:rsidR="007F3364">
              <w:t xml:space="preserve"> (including NZVIF)</w:t>
            </w:r>
            <w:r>
              <w:t xml:space="preserve"> may only sell some or all of its Shares if each of the other Investors has been offered an opportunity to sell the same proportion of their respective Shares on the same terms and that offer has been available for acceptance by the other Investors for at least 10 Business Days.</w:t>
            </w:r>
          </w:p>
          <w:p w:rsidR="006B4430" w:rsidRDefault="006B4430" w:rsidP="007F3364"/>
        </w:tc>
      </w:tr>
    </w:tbl>
    <w:p w:rsidR="00D42874" w:rsidRPr="007F3364" w:rsidRDefault="00D42874" w:rsidP="00D42874">
      <w:pPr>
        <w:rPr>
          <w:b/>
        </w:rPr>
      </w:pPr>
    </w:p>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 w:rsidR="00D42874" w:rsidRDefault="00D42874" w:rsidP="00D42874">
      <w:pPr>
        <w:tabs>
          <w:tab w:val="left" w:pos="8925"/>
        </w:tabs>
      </w:pPr>
      <w:r>
        <w:tab/>
      </w:r>
    </w:p>
    <w:p w:rsidR="00D42874" w:rsidRDefault="00D42874" w:rsidP="00D42874">
      <w:pPr>
        <w:tabs>
          <w:tab w:val="left" w:pos="8925"/>
        </w:tabs>
      </w:pPr>
    </w:p>
    <w:p w:rsidR="00B42E49" w:rsidRPr="00790A2F" w:rsidRDefault="00B42E49" w:rsidP="00790A2F"/>
    <w:sectPr w:rsidR="00B42E49" w:rsidRPr="00790A2F" w:rsidSect="003730B0">
      <w:pgSz w:w="11906" w:h="16838" w:code="9"/>
      <w:pgMar w:top="1440" w:right="1701" w:bottom="1440" w:left="1701" w:header="709" w:footer="454" w:gutter="0"/>
      <w:paperSrc w:first="265" w:other="2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EA" w:rsidRDefault="00766DEA" w:rsidP="00766DEA">
      <w:r>
        <w:separator/>
      </w:r>
    </w:p>
  </w:endnote>
  <w:endnote w:type="continuationSeparator" w:id="0">
    <w:p w:rsidR="00766DEA" w:rsidRDefault="00766DEA" w:rsidP="007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74" w:rsidRDefault="00D42874">
    <w:pPr>
      <w:rPr>
        <w:sz w:val="6"/>
      </w:rPr>
    </w:pPr>
  </w:p>
  <w:p w:rsidR="00D42874" w:rsidRDefault="00D42874">
    <w:pPr>
      <w:tabs>
        <w:tab w:val="right" w:pos="9315"/>
      </w:tabs>
      <w:rPr>
        <w:sz w:val="15"/>
      </w:rPr>
    </w:pPr>
    <w:r>
      <w:rPr>
        <w:noProof/>
        <w:sz w:val="6"/>
      </w:rPr>
      <mc:AlternateContent>
        <mc:Choice Requires="wps">
          <w:drawing>
            <wp:anchor distT="0" distB="0" distL="114300" distR="114300" simplePos="0" relativeHeight="251659264" behindDoc="0" locked="0" layoutInCell="1" allowOverlap="1" wp14:anchorId="6AFCBD8F" wp14:editId="7D00FDF9">
              <wp:simplePos x="0" y="0"/>
              <wp:positionH relativeFrom="column">
                <wp:posOffset>-12700</wp:posOffset>
              </wp:positionH>
              <wp:positionV relativeFrom="paragraph">
                <wp:posOffset>0</wp:posOffset>
              </wp:positionV>
              <wp:extent cx="5663565" cy="127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35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92D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4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j+KAIAAEM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"/>
          </w:pict>
        </mc:Fallback>
      </mc:AlternateContent>
    </w:r>
    <w:r>
      <w:rPr>
        <w:sz w:val="15"/>
      </w:rPr>
      <w:tab/>
    </w:r>
    <w:r w:rsidR="007F3364">
      <w:rPr>
        <w:noProof/>
        <w:sz w:val="15"/>
      </w:rPr>
      <w:drawing>
        <wp:inline distT="0" distB="0" distL="0" distR="0" wp14:anchorId="4538E838" wp14:editId="333176D3">
          <wp:extent cx="2353945" cy="389255"/>
          <wp:effectExtent l="0" t="0" r="8255" b="0"/>
          <wp:docPr id="6" name="Picture 6" descr="SG Land black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Land black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3892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74" w:rsidRDefault="00D42874">
    <w:pPr>
      <w:rPr>
        <w:sz w:val="6"/>
      </w:rPr>
    </w:pPr>
  </w:p>
  <w:p w:rsidR="00D42874" w:rsidRDefault="00D42874">
    <w:pPr>
      <w:tabs>
        <w:tab w:val="right" w:pos="9315"/>
      </w:tabs>
      <w:rPr>
        <w:sz w:val="15"/>
      </w:rPr>
    </w:pPr>
    <w:r>
      <w:rPr>
        <w:noProof/>
        <w:sz w:val="6"/>
      </w:rPr>
      <mc:AlternateContent>
        <mc:Choice Requires="wps">
          <w:drawing>
            <wp:anchor distT="0" distB="0" distL="114300" distR="114300" simplePos="0" relativeHeight="251660288" behindDoc="0" locked="0" layoutInCell="1" allowOverlap="1" wp14:anchorId="300F8FB2" wp14:editId="60086A84">
              <wp:simplePos x="0" y="0"/>
              <wp:positionH relativeFrom="column">
                <wp:posOffset>-12700</wp:posOffset>
              </wp:positionH>
              <wp:positionV relativeFrom="paragraph">
                <wp:posOffset>0</wp:posOffset>
              </wp:positionV>
              <wp:extent cx="5663565" cy="127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35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44A5"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4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"/>
          </w:pict>
        </mc:Fallback>
      </mc:AlternateContent>
    </w:r>
    <w:r>
      <w:rPr>
        <w:sz w:val="15"/>
      </w:rPr>
      <w:tab/>
    </w:r>
    <w:r w:rsidR="007F3364">
      <w:rPr>
        <w:noProof/>
        <w:sz w:val="15"/>
      </w:rPr>
      <w:drawing>
        <wp:inline distT="0" distB="0" distL="0" distR="0" wp14:anchorId="036C7608" wp14:editId="72F8BA90">
          <wp:extent cx="2353945" cy="389255"/>
          <wp:effectExtent l="0" t="0" r="8255" b="0"/>
          <wp:docPr id="5" name="Picture 5" descr="SG Land black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Land black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3892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2F" w:rsidRDefault="00ED68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EA" w:rsidRPr="000239D0" w:rsidRDefault="000239D0" w:rsidP="000239D0">
    <w:pPr>
      <w:pStyle w:val="Footer"/>
      <w:pBdr>
        <w:bottom w:val="single" w:sz="4" w:space="1" w:color="auto"/>
      </w:pBdr>
      <w:spacing w:before="60"/>
      <w:jc w:val="right"/>
      <w:rPr>
        <w:sz w:val="15"/>
        <w:szCs w:val="15"/>
      </w:rPr>
    </w:pPr>
    <w:r w:rsidRPr="000239D0">
      <w:rPr>
        <w:sz w:val="15"/>
        <w:szCs w:val="15"/>
      </w:rPr>
      <w:t xml:space="preserve">Page </w:t>
    </w:r>
    <w:r w:rsidRPr="000239D0">
      <w:rPr>
        <w:sz w:val="15"/>
        <w:szCs w:val="15"/>
      </w:rPr>
      <w:fldChar w:fldCharType="begin"/>
    </w:r>
    <w:r w:rsidRPr="000239D0">
      <w:rPr>
        <w:sz w:val="15"/>
        <w:szCs w:val="15"/>
      </w:rPr>
      <w:instrText xml:space="preserve"> PAGE   \* MERGEFORMAT </w:instrText>
    </w:r>
    <w:r w:rsidRPr="000239D0">
      <w:rPr>
        <w:sz w:val="15"/>
        <w:szCs w:val="15"/>
      </w:rPr>
      <w:fldChar w:fldCharType="separate"/>
    </w:r>
    <w:r w:rsidR="00982C41">
      <w:rPr>
        <w:noProof/>
        <w:sz w:val="15"/>
        <w:szCs w:val="15"/>
      </w:rPr>
      <w:t>3</w:t>
    </w:r>
    <w:r w:rsidRPr="000239D0">
      <w:rPr>
        <w:sz w:val="15"/>
        <w:szCs w:val="15"/>
      </w:rPr>
      <w:fldChar w:fldCharType="end"/>
    </w:r>
  </w:p>
  <w:p w:rsidR="00766DEA" w:rsidRPr="00413FA6" w:rsidRDefault="00413FA6" w:rsidP="00CF1D59">
    <w:pPr>
      <w:pStyle w:val="Footer"/>
      <w:spacing w:before="60"/>
      <w:rPr>
        <w:sz w:val="15"/>
        <w:szCs w:val="15"/>
      </w:rPr>
    </w:pPr>
    <w:r w:rsidRPr="00413FA6">
      <w:rPr>
        <w:noProof/>
        <w:sz w:val="15"/>
        <w:szCs w:val="15"/>
      </w:rPr>
      <w:fldChar w:fldCharType="begin"/>
    </w:r>
    <w:r w:rsidRPr="00413FA6">
      <w:rPr>
        <w:noProof/>
        <w:sz w:val="15"/>
        <w:szCs w:val="15"/>
      </w:rPr>
      <w:instrText xml:space="preserve"> FILENAME   \* MERGEFORMAT </w:instrText>
    </w:r>
    <w:r w:rsidRPr="00413FA6">
      <w:rPr>
        <w:noProof/>
        <w:sz w:val="15"/>
        <w:szCs w:val="15"/>
      </w:rPr>
      <w:fldChar w:fldCharType="separate"/>
    </w:r>
    <w:r w:rsidR="00982C41">
      <w:rPr>
        <w:noProof/>
        <w:sz w:val="15"/>
        <w:szCs w:val="15"/>
      </w:rPr>
      <w:t>26698637_1.docx</w:t>
    </w:r>
    <w:r w:rsidRPr="00413FA6">
      <w:rPr>
        <w:noProof/>
        <w:sz w:val="15"/>
        <w:szCs w:val="1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CC6" w:rsidRDefault="00676CC6" w:rsidP="00676CC6">
    <w:pPr>
      <w:pBdr>
        <w:bottom w:val="single" w:sz="4" w:space="1" w:color="auto"/>
      </w:pBdr>
      <w:rPr>
        <w:sz w:val="6"/>
      </w:rPr>
    </w:pPr>
  </w:p>
  <w:p w:rsidR="00FD18D3" w:rsidRPr="00717237" w:rsidRDefault="00413FA6" w:rsidP="00ED682F">
    <w:pPr>
      <w:tabs>
        <w:tab w:val="left" w:pos="1076"/>
      </w:tabs>
      <w:spacing w:before="60"/>
      <w:rPr>
        <w:sz w:val="15"/>
        <w:szCs w:val="15"/>
      </w:rPr>
    </w:pPr>
    <w:r>
      <w:rPr>
        <w:sz w:val="15"/>
        <w:szCs w:val="15"/>
      </w:rPr>
      <w:fldChar w:fldCharType="begin"/>
    </w:r>
    <w:r>
      <w:rPr>
        <w:sz w:val="15"/>
        <w:szCs w:val="15"/>
      </w:rPr>
      <w:instrText xml:space="preserve"> FILENAME   \* MERGEFORMAT </w:instrText>
    </w:r>
    <w:r>
      <w:rPr>
        <w:sz w:val="15"/>
        <w:szCs w:val="15"/>
      </w:rPr>
      <w:fldChar w:fldCharType="separate"/>
    </w:r>
    <w:r w:rsidR="00982C41">
      <w:rPr>
        <w:noProof/>
        <w:sz w:val="15"/>
        <w:szCs w:val="15"/>
      </w:rPr>
      <w:t>26698637_1.docx</w:t>
    </w:r>
    <w:r>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EA" w:rsidRDefault="00766DEA" w:rsidP="00766DEA">
      <w:r>
        <w:separator/>
      </w:r>
    </w:p>
  </w:footnote>
  <w:footnote w:type="continuationSeparator" w:id="0">
    <w:p w:rsidR="00766DEA" w:rsidRDefault="00766DEA" w:rsidP="00766DEA">
      <w:r>
        <w:continuationSeparator/>
      </w:r>
    </w:p>
  </w:footnote>
  <w:footnote w:id="1">
    <w:p w:rsidR="0083534F" w:rsidRDefault="0083534F" w:rsidP="0083534F">
      <w:pPr>
        <w:pStyle w:val="FootnoteText"/>
        <w:ind w:left="84" w:right="-79" w:hanging="70"/>
      </w:pPr>
      <w:r>
        <w:rPr>
          <w:rStyle w:val="FootnoteReference"/>
        </w:rPr>
        <w:footnoteRef/>
      </w:r>
      <w:r>
        <w:t xml:space="preserve">  Words "up </w:t>
      </w:r>
      <w:proofErr w:type="gramStart"/>
      <w:r>
        <w:t>to "</w:t>
      </w:r>
      <w:proofErr w:type="gramEnd"/>
      <w:r>
        <w:t xml:space="preserve"> generally apply if investment is </w:t>
      </w:r>
      <w:proofErr w:type="spellStart"/>
      <w:r>
        <w:t>tranched</w:t>
      </w:r>
      <w:proofErr w:type="spellEnd"/>
      <w:r>
        <w:t xml:space="preserve"> and milestones or conditions apply for subsequent payments.</w:t>
      </w:r>
    </w:p>
  </w:footnote>
  <w:footnote w:id="2">
    <w:p w:rsidR="0083534F" w:rsidRDefault="0083534F">
      <w:pPr>
        <w:pStyle w:val="FootnoteText"/>
        <w:ind w:left="154" w:right="-79" w:hanging="140"/>
      </w:pPr>
      <w:r>
        <w:rPr>
          <w:rStyle w:val="FootnoteReference"/>
        </w:rPr>
        <w:footnoteRef/>
      </w:r>
      <w:r>
        <w:t xml:space="preserve">  Applicable if investment is by a syndicate and either, indicative commitments are yet to be received for the full Investment Amount or there is potential for some Investors to withdraw while others proceed (</w:t>
      </w:r>
      <w:proofErr w:type="spellStart"/>
      <w:r>
        <w:t>eg</w:t>
      </w:r>
      <w:proofErr w:type="spellEnd"/>
      <w:r>
        <w:t xml:space="preserve"> if they are not happy with the outcome of due diligence </w:t>
      </w:r>
      <w:proofErr w:type="spellStart"/>
      <w:r>
        <w:t>etc</w:t>
      </w:r>
      <w:proofErr w:type="spellEnd"/>
      <w:r>
        <w:t>).</w:t>
      </w:r>
    </w:p>
  </w:footnote>
  <w:footnote w:id="3">
    <w:p w:rsidR="0083534F" w:rsidRDefault="0083534F" w:rsidP="0083534F">
      <w:pPr>
        <w:pStyle w:val="FootnoteText"/>
        <w:ind w:left="154" w:right="-79" w:hanging="140"/>
      </w:pPr>
      <w:r>
        <w:rPr>
          <w:rStyle w:val="FootnoteReference"/>
        </w:rPr>
        <w:footnoteRef/>
      </w:r>
      <w:r>
        <w:t xml:space="preserve">  Applicable for a syndicate investment where all of the participants are yet to be confirmed.</w:t>
      </w:r>
    </w:p>
  </w:footnote>
  <w:footnote w:id="4">
    <w:p w:rsidR="0083534F" w:rsidRDefault="0083534F" w:rsidP="00D42874">
      <w:pPr>
        <w:pStyle w:val="FootnoteText"/>
        <w:ind w:left="98" w:right="28" w:hanging="98"/>
      </w:pPr>
      <w:r>
        <w:rPr>
          <w:rStyle w:val="FootnoteReference"/>
        </w:rPr>
        <w:footnoteRef/>
      </w:r>
      <w:r>
        <w:t xml:space="preserve"> The term "Founders" is more common than "Key People", but latter term may be more accurate in indicating the people and who are important who may not be limited to the original founders of the Company (see later provisions relating to conditions precedent and restrictions on share transfers).</w:t>
      </w:r>
    </w:p>
  </w:footnote>
  <w:footnote w:id="5">
    <w:p w:rsidR="0083534F" w:rsidRDefault="0083534F" w:rsidP="003730B0">
      <w:pPr>
        <w:pStyle w:val="FootnoteText"/>
      </w:pPr>
      <w:r>
        <w:rPr>
          <w:rStyle w:val="FootnoteReference"/>
        </w:rPr>
        <w:footnoteRef/>
      </w:r>
      <w:r>
        <w:t xml:space="preserve"> Consider other specific conditions precedent which should be specified (</w:t>
      </w:r>
      <w:proofErr w:type="spellStart"/>
      <w:r>
        <w:t>eg</w:t>
      </w:r>
      <w:proofErr w:type="spellEnd"/>
      <w:r>
        <w:t>. members of investment syndicate making commitments equivalent to at least the minimum required investment).  However in this respect there is sufficient protection for Investors in the general due diligence condition and the non-binding nature of Term Sheet.</w:t>
      </w:r>
    </w:p>
  </w:footnote>
  <w:footnote w:id="6">
    <w:p w:rsidR="0083534F" w:rsidRDefault="0083534F" w:rsidP="00D42874">
      <w:pPr>
        <w:pStyle w:val="FootnoteText"/>
        <w:ind w:left="-42" w:right="21" w:firstLine="14"/>
      </w:pPr>
      <w:r>
        <w:rPr>
          <w:rStyle w:val="FootnoteReference"/>
        </w:rPr>
        <w:footnoteRef/>
      </w:r>
      <w:r>
        <w:t xml:space="preserve"> Of the 3 variables, the latter 2 options which allow for </w:t>
      </w:r>
      <w:proofErr w:type="spellStart"/>
      <w:r>
        <w:t>tranching</w:t>
      </w:r>
      <w:proofErr w:type="spellEnd"/>
      <w:r>
        <w:t xml:space="preserve"> will usually be preferred with third option being most preferred from Investors' perspective as payments are contingent on milestones.</w:t>
      </w:r>
    </w:p>
  </w:footnote>
  <w:footnote w:id="7">
    <w:p w:rsidR="0083534F" w:rsidRDefault="0083534F" w:rsidP="005A4D96">
      <w:pPr>
        <w:pStyle w:val="FootnoteText"/>
      </w:pPr>
      <w:r>
        <w:rPr>
          <w:rStyle w:val="FootnoteReference"/>
        </w:rPr>
        <w:footnoteRef/>
      </w:r>
      <w:r>
        <w:t xml:space="preserve"> Anti-dilution protection is standard. Full ratchet and narrow based weighted average options are given. </w:t>
      </w:r>
    </w:p>
  </w:footnote>
  <w:footnote w:id="8">
    <w:p w:rsidR="0083534F" w:rsidRDefault="0083534F" w:rsidP="00D42874">
      <w:pPr>
        <w:pStyle w:val="FootnoteText"/>
        <w:ind w:left="-42" w:right="21" w:firstLine="14"/>
      </w:pPr>
      <w:r>
        <w:rPr>
          <w:rStyle w:val="FootnoteReference"/>
        </w:rPr>
        <w:footnoteRef/>
      </w:r>
      <w:r>
        <w:t xml:space="preserve"> Usually the only </w:t>
      </w:r>
      <w:proofErr w:type="gramStart"/>
      <w:r>
        <w:t>directors</w:t>
      </w:r>
      <w:proofErr w:type="gramEnd"/>
      <w:r>
        <w:t xml:space="preserve"> fees will be (at most) a modest meeting fee to be paid to the Investor directors only.</w:t>
      </w:r>
    </w:p>
  </w:footnote>
  <w:footnote w:id="9">
    <w:p w:rsidR="00B70B02" w:rsidRDefault="00B70B02" w:rsidP="00B70B02">
      <w:pPr>
        <w:pStyle w:val="FootnoteText"/>
      </w:pPr>
      <w:r>
        <w:rPr>
          <w:rStyle w:val="FootnoteReference"/>
        </w:rPr>
        <w:footnoteRef/>
      </w:r>
      <w:r>
        <w:t xml:space="preserve"> May not be required in all situations </w:t>
      </w:r>
      <w:proofErr w:type="spellStart"/>
      <w:r>
        <w:t>ie</w:t>
      </w:r>
      <w:proofErr w:type="spellEnd"/>
      <w:r>
        <w:t xml:space="preserve">. </w:t>
      </w:r>
      <w:proofErr w:type="gramStart"/>
      <w:r>
        <w:t>where</w:t>
      </w:r>
      <w:proofErr w:type="gramEnd"/>
      <w:r>
        <w:t xml:space="preserve"> the Investors have a right of refusal in respect of 100% of shares issued and anti-dilution protection. Time limiting the veto right is also included as negotiable option.</w:t>
      </w:r>
    </w:p>
  </w:footnote>
  <w:footnote w:id="10">
    <w:p w:rsidR="00BE08EC" w:rsidRDefault="00BE08EC" w:rsidP="00BE08EC">
      <w:pPr>
        <w:pStyle w:val="FootnoteText"/>
      </w:pPr>
      <w:r>
        <w:rPr>
          <w:rStyle w:val="FootnoteReference"/>
        </w:rPr>
        <w:footnoteRef/>
      </w:r>
      <w:r>
        <w:t xml:space="preserve"> Delete if Key People Vesting provisions are not included in the Term Sheet.</w:t>
      </w:r>
    </w:p>
  </w:footnote>
  <w:footnote w:id="11">
    <w:p w:rsidR="006B4430" w:rsidRDefault="006B4430">
      <w:pPr>
        <w:pStyle w:val="FootnoteText"/>
      </w:pPr>
      <w:r>
        <w:rPr>
          <w:rStyle w:val="FootnoteReference"/>
        </w:rPr>
        <w:footnoteRef/>
      </w:r>
      <w:r>
        <w:t xml:space="preserve"> Delete this section if NZVIF is not an Investor.</w:t>
      </w:r>
    </w:p>
  </w:footnote>
  <w:footnote w:id="12">
    <w:p w:rsidR="0083534F" w:rsidRDefault="0083534F" w:rsidP="00DF2E9C">
      <w:pPr>
        <w:pStyle w:val="FootnoteText"/>
      </w:pPr>
      <w:r>
        <w:rPr>
          <w:rStyle w:val="FootnoteReference"/>
        </w:rPr>
        <w:footnoteRef/>
      </w:r>
      <w:r>
        <w:t xml:space="preserve"> Needs to be considered on a case by case basis. Depends on the relative shareholdings of founders, Investors and other individual shareholdings.</w:t>
      </w:r>
    </w:p>
  </w:footnote>
  <w:footnote w:id="13">
    <w:p w:rsidR="0083534F" w:rsidRDefault="0083534F" w:rsidP="00D42874">
      <w:pPr>
        <w:pStyle w:val="FootnoteText"/>
        <w:ind w:left="142" w:hanging="142"/>
      </w:pPr>
      <w:r>
        <w:rPr>
          <w:rStyle w:val="FootnoteReference"/>
        </w:rPr>
        <w:footnoteRef/>
      </w:r>
      <w:r>
        <w:t xml:space="preserve"> The Investors may require this protection against being "dragged" by other shareholders.</w:t>
      </w:r>
      <w:r w:rsidRPr="00734AF6">
        <w:t xml:space="preserve"> </w:t>
      </w:r>
      <w:r>
        <w:t>Consider if the Investors should have the right to "drag" other shareholders for desired exit, irrespective of their percentage shareholding.</w:t>
      </w:r>
    </w:p>
  </w:footnote>
  <w:footnote w:id="14">
    <w:p w:rsidR="00BD7762" w:rsidRDefault="00BD7762">
      <w:pPr>
        <w:pStyle w:val="FootnoteText"/>
      </w:pPr>
      <w:r>
        <w:rPr>
          <w:rStyle w:val="FootnoteReference"/>
        </w:rPr>
        <w:footnoteRef/>
      </w:r>
      <w:r>
        <w:t xml:space="preserve"> </w:t>
      </w:r>
      <w:r w:rsidRPr="007F3364">
        <w:t xml:space="preserve">This means that if </w:t>
      </w:r>
      <w:r>
        <w:t xml:space="preserve">any of the Key People </w:t>
      </w:r>
      <w:r w:rsidRPr="007F3364">
        <w:t xml:space="preserve">cease to be employed at any time while </w:t>
      </w:r>
      <w:r w:rsidR="00761B35">
        <w:t>their shares are “unvested” the C</w:t>
      </w:r>
      <w:r w:rsidRPr="007F3364">
        <w:t xml:space="preserve">ompany will have the right to buyback those shares at a nominal price (e.g. total of $1). Its purpose is to ensure that the </w:t>
      </w:r>
      <w:r w:rsidR="00761B35">
        <w:t>Key People</w:t>
      </w:r>
      <w:r w:rsidRPr="007F3364">
        <w:t xml:space="preserve"> remains actively committed to the business for a certain period</w:t>
      </w:r>
      <w:r w:rsidRPr="007F6AB3">
        <w:rPr>
          <w:i/>
        </w:rPr>
        <w:t>.</w:t>
      </w:r>
    </w:p>
  </w:footnote>
  <w:footnote w:id="15">
    <w:p w:rsidR="00761B35" w:rsidRDefault="00761B35">
      <w:pPr>
        <w:pStyle w:val="FootnoteText"/>
      </w:pPr>
      <w:r>
        <w:rPr>
          <w:rStyle w:val="FootnoteReference"/>
        </w:rPr>
        <w:footnoteRef/>
      </w:r>
      <w:r>
        <w:t xml:space="preserve"> </w:t>
      </w:r>
      <w:r w:rsidRPr="007F3364">
        <w:t xml:space="preserve">This allows </w:t>
      </w:r>
      <w:r w:rsidR="007F3364">
        <w:t>the Company to buyback a Key Person</w:t>
      </w:r>
      <w:r w:rsidRPr="007F3364">
        <w:t xml:space="preserve">’s shares if they commit fraud, an indictable criminal offence, breach of restraint or confidentiality obligations or are otherwise terminated by the </w:t>
      </w:r>
      <w:r>
        <w:t>C</w:t>
      </w:r>
      <w:r w:rsidRPr="007F3364">
        <w:t>ompany ‘with cause’.</w:t>
      </w:r>
    </w:p>
  </w:footnote>
  <w:footnote w:id="16">
    <w:p w:rsidR="0083534F" w:rsidRDefault="0083534F" w:rsidP="00A95E18">
      <w:pPr>
        <w:pStyle w:val="FootnoteText"/>
      </w:pPr>
      <w:r>
        <w:rPr>
          <w:rStyle w:val="FootnoteReference"/>
        </w:rPr>
        <w:footnoteRef/>
      </w:r>
      <w:r>
        <w:t xml:space="preserve"> Warranties will generally be given by the Company and founders only, though there may be exceptions where it is appropriate for key employees to give them as well. Needs to be considered on a case by case basis.</w:t>
      </w:r>
    </w:p>
  </w:footnote>
  <w:footnote w:id="17">
    <w:p w:rsidR="0083534F" w:rsidRDefault="0083534F" w:rsidP="00425108">
      <w:pPr>
        <w:pStyle w:val="FootnoteText"/>
        <w:ind w:right="-786"/>
      </w:pPr>
      <w:r>
        <w:rPr>
          <w:rStyle w:val="FootnoteReference"/>
        </w:rPr>
        <w:footnoteRef/>
      </w:r>
      <w:r>
        <w:t xml:space="preserve"> A dollar cap is usual if individuals are required to provide warranties alongside the Company.</w:t>
      </w:r>
    </w:p>
  </w:footnote>
  <w:footnote w:id="18">
    <w:p w:rsidR="0083534F" w:rsidRDefault="0083534F" w:rsidP="00D42874">
      <w:pPr>
        <w:pStyle w:val="FootnoteText"/>
      </w:pPr>
      <w:r>
        <w:rPr>
          <w:rStyle w:val="FootnoteReference"/>
        </w:rPr>
        <w:footnoteRef/>
      </w:r>
      <w:r>
        <w:t xml:space="preserve"> May be applicable for an investor syndicate.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74" w:rsidRDefault="00D42874">
    <w:pPr>
      <w:pStyle w:val="Header"/>
      <w:tabs>
        <w:tab w:val="right" w:pos="8639"/>
      </w:tabs>
      <w:jc w:val="right"/>
      <w:rPr>
        <w:b/>
        <w:sz w:val="18"/>
        <w:szCs w:val="18"/>
      </w:rPr>
    </w:pPr>
    <w:r>
      <w:rPr>
        <w:b/>
        <w:sz w:val="18"/>
        <w:szCs w:val="18"/>
      </w:rPr>
      <w:t>TEMPLATE TERM SHEET</w:t>
    </w:r>
  </w:p>
  <w:p w:rsidR="00D42874" w:rsidRDefault="00D42874">
    <w:pPr>
      <w:pStyle w:val="Header"/>
      <w:tabs>
        <w:tab w:val="right" w:pos="8639"/>
      </w:tabs>
      <w:jc w:val="right"/>
      <w:rPr>
        <w:b/>
        <w:sz w:val="18"/>
        <w:szCs w:val="18"/>
      </w:rPr>
    </w:pPr>
    <w:r>
      <w:rPr>
        <w:b/>
        <w:sz w:val="18"/>
        <w:szCs w:val="18"/>
      </w:rPr>
      <w:t>FOR ORDINARY SHARES</w:t>
    </w:r>
  </w:p>
  <w:p w:rsidR="00D42874" w:rsidRDefault="00D42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74" w:rsidRDefault="00D42874">
    <w:pPr>
      <w:pStyle w:val="Header"/>
      <w:tabs>
        <w:tab w:val="left" w:pos="7371"/>
      </w:tabs>
      <w:jc w:val="right"/>
      <w:rPr>
        <w:b/>
        <w:sz w:val="18"/>
        <w:szCs w:val="18"/>
      </w:rPr>
    </w:pPr>
    <w:r>
      <w:rPr>
        <w:b/>
        <w:sz w:val="18"/>
        <w:szCs w:val="18"/>
      </w:rPr>
      <w:t>TEMPLATE TERM SHEET</w:t>
    </w:r>
  </w:p>
  <w:p w:rsidR="00D42874" w:rsidRDefault="00D42874">
    <w:pPr>
      <w:pStyle w:val="Header"/>
      <w:jc w:val="right"/>
      <w:rPr>
        <w:b/>
        <w:sz w:val="18"/>
        <w:szCs w:val="18"/>
      </w:rPr>
    </w:pPr>
    <w:r>
      <w:rPr>
        <w:b/>
        <w:sz w:val="18"/>
        <w:szCs w:val="18"/>
      </w:rPr>
      <w:t>FOR ORDINARY SHARES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2F" w:rsidRDefault="00ED68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9D0" w:rsidRDefault="000239D0" w:rsidP="000239D0">
    <w:pPr>
      <w:pStyle w:val="Header"/>
      <w:pBdr>
        <w:bottom w:val="single" w:sz="4" w:space="1" w:color="auto"/>
      </w:pBdr>
      <w:spacing w:before="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2F" w:rsidRDefault="00ED6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1EAFFD4"/>
    <w:lvl w:ilvl="0">
      <w:start w:val="1"/>
      <w:numFmt w:val="decimal"/>
      <w:pStyle w:val="Heading1"/>
      <w:lvlText w:val="%1."/>
      <w:lvlJc w:val="left"/>
      <w:pPr>
        <w:tabs>
          <w:tab w:val="num" w:pos="851"/>
        </w:tabs>
        <w:ind w:left="851" w:hanging="851"/>
      </w:pPr>
      <w:rPr>
        <w:rFonts w:ascii="Arial" w:hAnsi="Arial" w:cs="Arial" w:hint="default"/>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2407882"/>
    <w:multiLevelType w:val="hybridMultilevel"/>
    <w:tmpl w:val="7B981714"/>
    <w:lvl w:ilvl="0" w:tplc="4C8CED1A">
      <w:start w:val="1"/>
      <w:numFmt w:val="bullet"/>
      <w:lvlText w:val=""/>
      <w:lvlJc w:val="left"/>
      <w:pPr>
        <w:tabs>
          <w:tab w:val="num" w:pos="850"/>
        </w:tabs>
        <w:ind w:left="850" w:hanging="850"/>
      </w:pPr>
      <w:rPr>
        <w:rFonts w:ascii="Symbol" w:hAnsi="Symbol" w:hint="default"/>
        <w:color w:val="000000"/>
      </w:rPr>
    </w:lvl>
    <w:lvl w:ilvl="1" w:tplc="1FBA9B76" w:tentative="1">
      <w:start w:val="1"/>
      <w:numFmt w:val="bullet"/>
      <w:lvlText w:val="o"/>
      <w:lvlJc w:val="left"/>
      <w:pPr>
        <w:tabs>
          <w:tab w:val="num" w:pos="1440"/>
        </w:tabs>
        <w:ind w:left="1440" w:hanging="360"/>
      </w:pPr>
      <w:rPr>
        <w:rFonts w:ascii="Courier New" w:hAnsi="Courier New" w:hint="default"/>
        <w:color w:val="000000"/>
      </w:rPr>
    </w:lvl>
    <w:lvl w:ilvl="2" w:tplc="3920F20C" w:tentative="1">
      <w:start w:val="1"/>
      <w:numFmt w:val="bullet"/>
      <w:lvlText w:val=""/>
      <w:lvlJc w:val="left"/>
      <w:pPr>
        <w:tabs>
          <w:tab w:val="num" w:pos="2160"/>
        </w:tabs>
        <w:ind w:left="2160" w:hanging="360"/>
      </w:pPr>
      <w:rPr>
        <w:rFonts w:ascii="Wingdings" w:hAnsi="Wingdings" w:hint="default"/>
        <w:color w:val="000000"/>
      </w:rPr>
    </w:lvl>
    <w:lvl w:ilvl="3" w:tplc="840C2372" w:tentative="1">
      <w:start w:val="1"/>
      <w:numFmt w:val="bullet"/>
      <w:lvlText w:val=""/>
      <w:lvlJc w:val="left"/>
      <w:pPr>
        <w:tabs>
          <w:tab w:val="num" w:pos="2880"/>
        </w:tabs>
        <w:ind w:left="2880" w:hanging="360"/>
      </w:pPr>
      <w:rPr>
        <w:rFonts w:ascii="Symbol" w:hAnsi="Symbol" w:hint="default"/>
        <w:color w:val="000000"/>
      </w:rPr>
    </w:lvl>
    <w:lvl w:ilvl="4" w:tplc="CF0E0C16" w:tentative="1">
      <w:start w:val="1"/>
      <w:numFmt w:val="bullet"/>
      <w:lvlText w:val="o"/>
      <w:lvlJc w:val="left"/>
      <w:pPr>
        <w:tabs>
          <w:tab w:val="num" w:pos="3600"/>
        </w:tabs>
        <w:ind w:left="3600" w:hanging="360"/>
      </w:pPr>
      <w:rPr>
        <w:rFonts w:ascii="Courier New" w:hAnsi="Courier New" w:hint="default"/>
        <w:color w:val="000000"/>
      </w:rPr>
    </w:lvl>
    <w:lvl w:ilvl="5" w:tplc="42400F86" w:tentative="1">
      <w:start w:val="1"/>
      <w:numFmt w:val="bullet"/>
      <w:lvlText w:val=""/>
      <w:lvlJc w:val="left"/>
      <w:pPr>
        <w:tabs>
          <w:tab w:val="num" w:pos="4320"/>
        </w:tabs>
        <w:ind w:left="4320" w:hanging="360"/>
      </w:pPr>
      <w:rPr>
        <w:rFonts w:ascii="Wingdings" w:hAnsi="Wingdings" w:hint="default"/>
        <w:color w:val="000000"/>
      </w:rPr>
    </w:lvl>
    <w:lvl w:ilvl="6" w:tplc="9762320A" w:tentative="1">
      <w:start w:val="1"/>
      <w:numFmt w:val="bullet"/>
      <w:lvlText w:val=""/>
      <w:lvlJc w:val="left"/>
      <w:pPr>
        <w:tabs>
          <w:tab w:val="num" w:pos="5040"/>
        </w:tabs>
        <w:ind w:left="5040" w:hanging="360"/>
      </w:pPr>
      <w:rPr>
        <w:rFonts w:ascii="Symbol" w:hAnsi="Symbol" w:hint="default"/>
        <w:color w:val="000000"/>
      </w:rPr>
    </w:lvl>
    <w:lvl w:ilvl="7" w:tplc="C88C398E" w:tentative="1">
      <w:start w:val="1"/>
      <w:numFmt w:val="bullet"/>
      <w:lvlText w:val="o"/>
      <w:lvlJc w:val="left"/>
      <w:pPr>
        <w:tabs>
          <w:tab w:val="num" w:pos="5760"/>
        </w:tabs>
        <w:ind w:left="5760" w:hanging="360"/>
      </w:pPr>
      <w:rPr>
        <w:rFonts w:ascii="Courier New" w:hAnsi="Courier New" w:hint="default"/>
        <w:color w:val="000000"/>
      </w:rPr>
    </w:lvl>
    <w:lvl w:ilvl="8" w:tplc="DB003E88" w:tentative="1">
      <w:start w:val="1"/>
      <w:numFmt w:val="bullet"/>
      <w:lvlText w:val=""/>
      <w:lvlJc w:val="left"/>
      <w:pPr>
        <w:tabs>
          <w:tab w:val="num" w:pos="6480"/>
        </w:tabs>
        <w:ind w:left="6480" w:hanging="360"/>
      </w:pPr>
      <w:rPr>
        <w:rFonts w:ascii="Wingdings" w:hAnsi="Wingdings" w:hint="default"/>
        <w:color w:val="000000"/>
      </w:rPr>
    </w:lvl>
  </w:abstractNum>
  <w:abstractNum w:abstractNumId="2" w15:restartNumberingAfterBreak="0">
    <w:nsid w:val="02B21376"/>
    <w:multiLevelType w:val="hybridMultilevel"/>
    <w:tmpl w:val="A0AA11CC"/>
    <w:lvl w:ilvl="0" w:tplc="0C090017">
      <w:start w:val="1"/>
      <w:numFmt w:val="lowerLetter"/>
      <w:lvlText w:val="%1)"/>
      <w:lvlJc w:val="left"/>
      <w:pPr>
        <w:ind w:left="780" w:hanging="360"/>
      </w:pPr>
      <w:rPr>
        <w:rFont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8E2707E"/>
    <w:multiLevelType w:val="hybridMultilevel"/>
    <w:tmpl w:val="D75A4E68"/>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bullet"/>
      <w:lvlText w:val="o"/>
      <w:lvlJc w:val="left"/>
      <w:pPr>
        <w:tabs>
          <w:tab w:val="num" w:pos="1440"/>
        </w:tabs>
        <w:ind w:left="1440" w:hanging="360"/>
      </w:pPr>
      <w:rPr>
        <w:rFonts w:ascii="Courier New" w:hAnsi="Courier New" w:hint="default"/>
        <w:color w:val="000000"/>
      </w:rPr>
    </w:lvl>
    <w:lvl w:ilvl="2" w:tplc="5A48D92C" w:tentative="1">
      <w:start w:val="1"/>
      <w:numFmt w:val="bullet"/>
      <w:lvlText w:val=""/>
      <w:lvlJc w:val="left"/>
      <w:pPr>
        <w:tabs>
          <w:tab w:val="num" w:pos="2160"/>
        </w:tabs>
        <w:ind w:left="2160" w:hanging="360"/>
      </w:pPr>
      <w:rPr>
        <w:rFonts w:ascii="Wingdings" w:hAnsi="Wingdings" w:hint="default"/>
        <w:color w:val="000000"/>
      </w:rPr>
    </w:lvl>
    <w:lvl w:ilvl="3" w:tplc="48C62AB8" w:tentative="1">
      <w:start w:val="1"/>
      <w:numFmt w:val="bullet"/>
      <w:lvlText w:val=""/>
      <w:lvlJc w:val="left"/>
      <w:pPr>
        <w:tabs>
          <w:tab w:val="num" w:pos="2880"/>
        </w:tabs>
        <w:ind w:left="2880" w:hanging="360"/>
      </w:pPr>
      <w:rPr>
        <w:rFonts w:ascii="Symbol" w:hAnsi="Symbol" w:hint="default"/>
        <w:color w:val="000000"/>
      </w:rPr>
    </w:lvl>
    <w:lvl w:ilvl="4" w:tplc="7B4812EC" w:tentative="1">
      <w:start w:val="1"/>
      <w:numFmt w:val="bullet"/>
      <w:lvlText w:val="o"/>
      <w:lvlJc w:val="left"/>
      <w:pPr>
        <w:tabs>
          <w:tab w:val="num" w:pos="3600"/>
        </w:tabs>
        <w:ind w:left="3600" w:hanging="360"/>
      </w:pPr>
      <w:rPr>
        <w:rFonts w:ascii="Courier New" w:hAnsi="Courier New" w:hint="default"/>
        <w:color w:val="000000"/>
      </w:rPr>
    </w:lvl>
    <w:lvl w:ilvl="5" w:tplc="4E8231E2" w:tentative="1">
      <w:start w:val="1"/>
      <w:numFmt w:val="bullet"/>
      <w:lvlText w:val=""/>
      <w:lvlJc w:val="left"/>
      <w:pPr>
        <w:tabs>
          <w:tab w:val="num" w:pos="4320"/>
        </w:tabs>
        <w:ind w:left="4320" w:hanging="360"/>
      </w:pPr>
      <w:rPr>
        <w:rFonts w:ascii="Wingdings" w:hAnsi="Wingdings" w:hint="default"/>
        <w:color w:val="000000"/>
      </w:rPr>
    </w:lvl>
    <w:lvl w:ilvl="6" w:tplc="AC4A45A2" w:tentative="1">
      <w:start w:val="1"/>
      <w:numFmt w:val="bullet"/>
      <w:lvlText w:val=""/>
      <w:lvlJc w:val="left"/>
      <w:pPr>
        <w:tabs>
          <w:tab w:val="num" w:pos="5040"/>
        </w:tabs>
        <w:ind w:left="5040" w:hanging="360"/>
      </w:pPr>
      <w:rPr>
        <w:rFonts w:ascii="Symbol" w:hAnsi="Symbol" w:hint="default"/>
        <w:color w:val="000000"/>
      </w:rPr>
    </w:lvl>
    <w:lvl w:ilvl="7" w:tplc="5DF63100" w:tentative="1">
      <w:start w:val="1"/>
      <w:numFmt w:val="bullet"/>
      <w:lvlText w:val="o"/>
      <w:lvlJc w:val="left"/>
      <w:pPr>
        <w:tabs>
          <w:tab w:val="num" w:pos="5760"/>
        </w:tabs>
        <w:ind w:left="5760" w:hanging="360"/>
      </w:pPr>
      <w:rPr>
        <w:rFonts w:ascii="Courier New" w:hAnsi="Courier New" w:hint="default"/>
        <w:color w:val="000000"/>
      </w:rPr>
    </w:lvl>
    <w:lvl w:ilvl="8" w:tplc="B100DA74" w:tentative="1">
      <w:start w:val="1"/>
      <w:numFmt w:val="bullet"/>
      <w:lvlText w:val=""/>
      <w:lvlJc w:val="left"/>
      <w:pPr>
        <w:tabs>
          <w:tab w:val="num" w:pos="6480"/>
        </w:tabs>
        <w:ind w:left="6480" w:hanging="360"/>
      </w:pPr>
      <w:rPr>
        <w:rFonts w:ascii="Wingdings" w:hAnsi="Wingdings" w:hint="default"/>
        <w:color w:val="000000"/>
      </w:rPr>
    </w:lvl>
  </w:abstractNum>
  <w:abstractNum w:abstractNumId="4" w15:restartNumberingAfterBreak="0">
    <w:nsid w:val="1B6E7DEE"/>
    <w:multiLevelType w:val="hybridMultilevel"/>
    <w:tmpl w:val="B17EADF6"/>
    <w:lvl w:ilvl="0" w:tplc="4C8CED1A">
      <w:start w:val="1"/>
      <w:numFmt w:val="bullet"/>
      <w:lvlText w:val=""/>
      <w:lvlJc w:val="left"/>
      <w:pPr>
        <w:tabs>
          <w:tab w:val="num" w:pos="850"/>
        </w:tabs>
        <w:ind w:left="850" w:hanging="850"/>
      </w:pPr>
      <w:rPr>
        <w:rFonts w:ascii="Symbol" w:hAnsi="Symbol" w:hint="default"/>
        <w:color w:val="000000"/>
      </w:rPr>
    </w:lvl>
    <w:lvl w:ilvl="1" w:tplc="87E4DCDC" w:tentative="1">
      <w:start w:val="1"/>
      <w:numFmt w:val="bullet"/>
      <w:lvlText w:val="o"/>
      <w:lvlJc w:val="left"/>
      <w:pPr>
        <w:tabs>
          <w:tab w:val="num" w:pos="1440"/>
        </w:tabs>
        <w:ind w:left="1440" w:hanging="360"/>
      </w:pPr>
      <w:rPr>
        <w:rFonts w:ascii="Courier New" w:hAnsi="Courier New" w:hint="default"/>
        <w:color w:val="000000"/>
      </w:rPr>
    </w:lvl>
    <w:lvl w:ilvl="2" w:tplc="83B891DA" w:tentative="1">
      <w:start w:val="1"/>
      <w:numFmt w:val="bullet"/>
      <w:lvlText w:val=""/>
      <w:lvlJc w:val="left"/>
      <w:pPr>
        <w:tabs>
          <w:tab w:val="num" w:pos="2160"/>
        </w:tabs>
        <w:ind w:left="2160" w:hanging="360"/>
      </w:pPr>
      <w:rPr>
        <w:rFonts w:ascii="Wingdings" w:hAnsi="Wingdings" w:hint="default"/>
        <w:color w:val="000000"/>
      </w:rPr>
    </w:lvl>
    <w:lvl w:ilvl="3" w:tplc="1130BA7A" w:tentative="1">
      <w:start w:val="1"/>
      <w:numFmt w:val="bullet"/>
      <w:lvlText w:val=""/>
      <w:lvlJc w:val="left"/>
      <w:pPr>
        <w:tabs>
          <w:tab w:val="num" w:pos="2880"/>
        </w:tabs>
        <w:ind w:left="2880" w:hanging="360"/>
      </w:pPr>
      <w:rPr>
        <w:rFonts w:ascii="Symbol" w:hAnsi="Symbol" w:hint="default"/>
        <w:color w:val="000000"/>
      </w:rPr>
    </w:lvl>
    <w:lvl w:ilvl="4" w:tplc="C1B009F6" w:tentative="1">
      <w:start w:val="1"/>
      <w:numFmt w:val="bullet"/>
      <w:lvlText w:val="o"/>
      <w:lvlJc w:val="left"/>
      <w:pPr>
        <w:tabs>
          <w:tab w:val="num" w:pos="3600"/>
        </w:tabs>
        <w:ind w:left="3600" w:hanging="360"/>
      </w:pPr>
      <w:rPr>
        <w:rFonts w:ascii="Courier New" w:hAnsi="Courier New" w:hint="default"/>
        <w:color w:val="000000"/>
      </w:rPr>
    </w:lvl>
    <w:lvl w:ilvl="5" w:tplc="BB1A880A" w:tentative="1">
      <w:start w:val="1"/>
      <w:numFmt w:val="bullet"/>
      <w:lvlText w:val=""/>
      <w:lvlJc w:val="left"/>
      <w:pPr>
        <w:tabs>
          <w:tab w:val="num" w:pos="4320"/>
        </w:tabs>
        <w:ind w:left="4320" w:hanging="360"/>
      </w:pPr>
      <w:rPr>
        <w:rFonts w:ascii="Wingdings" w:hAnsi="Wingdings" w:hint="default"/>
        <w:color w:val="000000"/>
      </w:rPr>
    </w:lvl>
    <w:lvl w:ilvl="6" w:tplc="F6F4B30C" w:tentative="1">
      <w:start w:val="1"/>
      <w:numFmt w:val="bullet"/>
      <w:lvlText w:val=""/>
      <w:lvlJc w:val="left"/>
      <w:pPr>
        <w:tabs>
          <w:tab w:val="num" w:pos="5040"/>
        </w:tabs>
        <w:ind w:left="5040" w:hanging="360"/>
      </w:pPr>
      <w:rPr>
        <w:rFonts w:ascii="Symbol" w:hAnsi="Symbol" w:hint="default"/>
        <w:color w:val="000000"/>
      </w:rPr>
    </w:lvl>
    <w:lvl w:ilvl="7" w:tplc="C9EE571E" w:tentative="1">
      <w:start w:val="1"/>
      <w:numFmt w:val="bullet"/>
      <w:lvlText w:val="o"/>
      <w:lvlJc w:val="left"/>
      <w:pPr>
        <w:tabs>
          <w:tab w:val="num" w:pos="5760"/>
        </w:tabs>
        <w:ind w:left="5760" w:hanging="360"/>
      </w:pPr>
      <w:rPr>
        <w:rFonts w:ascii="Courier New" w:hAnsi="Courier New" w:hint="default"/>
        <w:color w:val="000000"/>
      </w:rPr>
    </w:lvl>
    <w:lvl w:ilvl="8" w:tplc="4E240C60" w:tentative="1">
      <w:start w:val="1"/>
      <w:numFmt w:val="bullet"/>
      <w:lvlText w:val=""/>
      <w:lvlJc w:val="left"/>
      <w:pPr>
        <w:tabs>
          <w:tab w:val="num" w:pos="6480"/>
        </w:tabs>
        <w:ind w:left="6480" w:hanging="360"/>
      </w:pPr>
      <w:rPr>
        <w:rFonts w:ascii="Wingdings" w:hAnsi="Wingdings" w:hint="default"/>
        <w:color w:val="000000"/>
      </w:rPr>
    </w:lvl>
  </w:abstractNum>
  <w:abstractNum w:abstractNumId="5" w15:restartNumberingAfterBreak="0">
    <w:nsid w:val="245101A0"/>
    <w:multiLevelType w:val="hybridMultilevel"/>
    <w:tmpl w:val="2AAC5CB2"/>
    <w:lvl w:ilvl="0" w:tplc="B50063A0">
      <w:start w:val="1"/>
      <w:numFmt w:val="bullet"/>
      <w:lvlText w:val=""/>
      <w:lvlJc w:val="left"/>
      <w:pPr>
        <w:tabs>
          <w:tab w:val="num" w:pos="1701"/>
        </w:tabs>
        <w:ind w:left="1701" w:hanging="850"/>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28020BCE"/>
    <w:multiLevelType w:val="hybridMultilevel"/>
    <w:tmpl w:val="F112EF5E"/>
    <w:lvl w:ilvl="0" w:tplc="4C8CED1A">
      <w:start w:val="1"/>
      <w:numFmt w:val="bullet"/>
      <w:lvlText w:val=""/>
      <w:lvlJc w:val="left"/>
      <w:pPr>
        <w:tabs>
          <w:tab w:val="num" w:pos="850"/>
        </w:tabs>
        <w:ind w:left="850" w:hanging="850"/>
      </w:pPr>
      <w:rPr>
        <w:rFonts w:ascii="Symbol" w:hAnsi="Symbol" w:hint="default"/>
        <w:color w:val="000000"/>
      </w:rPr>
    </w:lvl>
    <w:lvl w:ilvl="1" w:tplc="5C441076" w:tentative="1">
      <w:start w:val="1"/>
      <w:numFmt w:val="lowerLetter"/>
      <w:lvlText w:val="%2."/>
      <w:lvlJc w:val="left"/>
      <w:pPr>
        <w:tabs>
          <w:tab w:val="num" w:pos="450"/>
        </w:tabs>
        <w:ind w:left="450" w:hanging="360"/>
      </w:pPr>
      <w:rPr>
        <w:color w:val="000000"/>
      </w:rPr>
    </w:lvl>
    <w:lvl w:ilvl="2" w:tplc="8D3A67BA" w:tentative="1">
      <w:start w:val="1"/>
      <w:numFmt w:val="lowerRoman"/>
      <w:lvlText w:val="%3."/>
      <w:lvlJc w:val="right"/>
      <w:pPr>
        <w:tabs>
          <w:tab w:val="num" w:pos="1170"/>
        </w:tabs>
        <w:ind w:left="1170" w:hanging="180"/>
      </w:pPr>
      <w:rPr>
        <w:color w:val="000000"/>
      </w:rPr>
    </w:lvl>
    <w:lvl w:ilvl="3" w:tplc="FCCCE454" w:tentative="1">
      <w:start w:val="1"/>
      <w:numFmt w:val="decimal"/>
      <w:lvlText w:val="%4."/>
      <w:lvlJc w:val="left"/>
      <w:pPr>
        <w:tabs>
          <w:tab w:val="num" w:pos="1890"/>
        </w:tabs>
        <w:ind w:left="1890" w:hanging="360"/>
      </w:pPr>
      <w:rPr>
        <w:color w:val="000000"/>
      </w:rPr>
    </w:lvl>
    <w:lvl w:ilvl="4" w:tplc="FA6A6D0C" w:tentative="1">
      <w:start w:val="1"/>
      <w:numFmt w:val="lowerLetter"/>
      <w:lvlText w:val="%5."/>
      <w:lvlJc w:val="left"/>
      <w:pPr>
        <w:tabs>
          <w:tab w:val="num" w:pos="2610"/>
        </w:tabs>
        <w:ind w:left="2610" w:hanging="360"/>
      </w:pPr>
      <w:rPr>
        <w:color w:val="000000"/>
      </w:rPr>
    </w:lvl>
    <w:lvl w:ilvl="5" w:tplc="8E8E7752" w:tentative="1">
      <w:start w:val="1"/>
      <w:numFmt w:val="lowerRoman"/>
      <w:lvlText w:val="%6."/>
      <w:lvlJc w:val="right"/>
      <w:pPr>
        <w:tabs>
          <w:tab w:val="num" w:pos="3330"/>
        </w:tabs>
        <w:ind w:left="3330" w:hanging="180"/>
      </w:pPr>
      <w:rPr>
        <w:color w:val="000000"/>
      </w:rPr>
    </w:lvl>
    <w:lvl w:ilvl="6" w:tplc="F0F45C90" w:tentative="1">
      <w:start w:val="1"/>
      <w:numFmt w:val="decimal"/>
      <w:lvlText w:val="%7."/>
      <w:lvlJc w:val="left"/>
      <w:pPr>
        <w:tabs>
          <w:tab w:val="num" w:pos="4050"/>
        </w:tabs>
        <w:ind w:left="4050" w:hanging="360"/>
      </w:pPr>
      <w:rPr>
        <w:color w:val="000000"/>
      </w:rPr>
    </w:lvl>
    <w:lvl w:ilvl="7" w:tplc="A6DE3D30" w:tentative="1">
      <w:start w:val="1"/>
      <w:numFmt w:val="lowerLetter"/>
      <w:lvlText w:val="%8."/>
      <w:lvlJc w:val="left"/>
      <w:pPr>
        <w:tabs>
          <w:tab w:val="num" w:pos="4770"/>
        </w:tabs>
        <w:ind w:left="4770" w:hanging="360"/>
      </w:pPr>
      <w:rPr>
        <w:color w:val="000000"/>
      </w:rPr>
    </w:lvl>
    <w:lvl w:ilvl="8" w:tplc="9F040226" w:tentative="1">
      <w:start w:val="1"/>
      <w:numFmt w:val="lowerRoman"/>
      <w:lvlText w:val="%9."/>
      <w:lvlJc w:val="right"/>
      <w:pPr>
        <w:tabs>
          <w:tab w:val="num" w:pos="5490"/>
        </w:tabs>
        <w:ind w:left="5490" w:hanging="180"/>
      </w:pPr>
      <w:rPr>
        <w:color w:val="000000"/>
      </w:rPr>
    </w:lvl>
  </w:abstractNum>
  <w:abstractNum w:abstractNumId="7" w15:restartNumberingAfterBreak="0">
    <w:nsid w:val="2D666689"/>
    <w:multiLevelType w:val="hybridMultilevel"/>
    <w:tmpl w:val="1AA0B61E"/>
    <w:lvl w:ilvl="0" w:tplc="4C8CED1A">
      <w:start w:val="1"/>
      <w:numFmt w:val="bullet"/>
      <w:lvlText w:val=""/>
      <w:lvlJc w:val="left"/>
      <w:pPr>
        <w:tabs>
          <w:tab w:val="num" w:pos="850"/>
        </w:tabs>
        <w:ind w:left="850" w:hanging="850"/>
      </w:pPr>
      <w:rPr>
        <w:rFonts w:ascii="Symbol" w:hAnsi="Symbol" w:hint="default"/>
        <w:color w:val="000000"/>
      </w:rPr>
    </w:lvl>
    <w:lvl w:ilvl="1" w:tplc="7DEC6D14" w:tentative="1">
      <w:start w:val="1"/>
      <w:numFmt w:val="bullet"/>
      <w:lvlText w:val="o"/>
      <w:lvlJc w:val="left"/>
      <w:pPr>
        <w:tabs>
          <w:tab w:val="num" w:pos="1440"/>
        </w:tabs>
        <w:ind w:left="1440" w:hanging="360"/>
      </w:pPr>
      <w:rPr>
        <w:rFonts w:ascii="Courier New" w:hAnsi="Courier New" w:hint="default"/>
        <w:color w:val="000000"/>
      </w:rPr>
    </w:lvl>
    <w:lvl w:ilvl="2" w:tplc="840AD954" w:tentative="1">
      <w:start w:val="1"/>
      <w:numFmt w:val="bullet"/>
      <w:lvlText w:val=""/>
      <w:lvlJc w:val="left"/>
      <w:pPr>
        <w:tabs>
          <w:tab w:val="num" w:pos="2160"/>
        </w:tabs>
        <w:ind w:left="2160" w:hanging="360"/>
      </w:pPr>
      <w:rPr>
        <w:rFonts w:ascii="Wingdings" w:hAnsi="Wingdings" w:hint="default"/>
        <w:color w:val="000000"/>
      </w:rPr>
    </w:lvl>
    <w:lvl w:ilvl="3" w:tplc="D6701EA6" w:tentative="1">
      <w:start w:val="1"/>
      <w:numFmt w:val="bullet"/>
      <w:lvlText w:val=""/>
      <w:lvlJc w:val="left"/>
      <w:pPr>
        <w:tabs>
          <w:tab w:val="num" w:pos="2880"/>
        </w:tabs>
        <w:ind w:left="2880" w:hanging="360"/>
      </w:pPr>
      <w:rPr>
        <w:rFonts w:ascii="Symbol" w:hAnsi="Symbol" w:hint="default"/>
        <w:color w:val="000000"/>
      </w:rPr>
    </w:lvl>
    <w:lvl w:ilvl="4" w:tplc="E40A01EA" w:tentative="1">
      <w:start w:val="1"/>
      <w:numFmt w:val="bullet"/>
      <w:lvlText w:val="o"/>
      <w:lvlJc w:val="left"/>
      <w:pPr>
        <w:tabs>
          <w:tab w:val="num" w:pos="3600"/>
        </w:tabs>
        <w:ind w:left="3600" w:hanging="360"/>
      </w:pPr>
      <w:rPr>
        <w:rFonts w:ascii="Courier New" w:hAnsi="Courier New" w:hint="default"/>
        <w:color w:val="000000"/>
      </w:rPr>
    </w:lvl>
    <w:lvl w:ilvl="5" w:tplc="75E2010E" w:tentative="1">
      <w:start w:val="1"/>
      <w:numFmt w:val="bullet"/>
      <w:lvlText w:val=""/>
      <w:lvlJc w:val="left"/>
      <w:pPr>
        <w:tabs>
          <w:tab w:val="num" w:pos="4320"/>
        </w:tabs>
        <w:ind w:left="4320" w:hanging="360"/>
      </w:pPr>
      <w:rPr>
        <w:rFonts w:ascii="Wingdings" w:hAnsi="Wingdings" w:hint="default"/>
        <w:color w:val="000000"/>
      </w:rPr>
    </w:lvl>
    <w:lvl w:ilvl="6" w:tplc="D2B05CB8" w:tentative="1">
      <w:start w:val="1"/>
      <w:numFmt w:val="bullet"/>
      <w:lvlText w:val=""/>
      <w:lvlJc w:val="left"/>
      <w:pPr>
        <w:tabs>
          <w:tab w:val="num" w:pos="5040"/>
        </w:tabs>
        <w:ind w:left="5040" w:hanging="360"/>
      </w:pPr>
      <w:rPr>
        <w:rFonts w:ascii="Symbol" w:hAnsi="Symbol" w:hint="default"/>
        <w:color w:val="000000"/>
      </w:rPr>
    </w:lvl>
    <w:lvl w:ilvl="7" w:tplc="9F26F582" w:tentative="1">
      <w:start w:val="1"/>
      <w:numFmt w:val="bullet"/>
      <w:lvlText w:val="o"/>
      <w:lvlJc w:val="left"/>
      <w:pPr>
        <w:tabs>
          <w:tab w:val="num" w:pos="5760"/>
        </w:tabs>
        <w:ind w:left="5760" w:hanging="360"/>
      </w:pPr>
      <w:rPr>
        <w:rFonts w:ascii="Courier New" w:hAnsi="Courier New" w:hint="default"/>
        <w:color w:val="000000"/>
      </w:rPr>
    </w:lvl>
    <w:lvl w:ilvl="8" w:tplc="299A7088" w:tentative="1">
      <w:start w:val="1"/>
      <w:numFmt w:val="bullet"/>
      <w:lvlText w:val=""/>
      <w:lvlJc w:val="left"/>
      <w:pPr>
        <w:tabs>
          <w:tab w:val="num" w:pos="6480"/>
        </w:tabs>
        <w:ind w:left="6480" w:hanging="360"/>
      </w:pPr>
      <w:rPr>
        <w:rFonts w:ascii="Wingdings" w:hAnsi="Wingdings" w:hint="default"/>
        <w:color w:val="000000"/>
      </w:rPr>
    </w:lvl>
  </w:abstractNum>
  <w:abstractNum w:abstractNumId="8" w15:restartNumberingAfterBreak="0">
    <w:nsid w:val="37823B2E"/>
    <w:multiLevelType w:val="hybridMultilevel"/>
    <w:tmpl w:val="3AD0BB56"/>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bullet"/>
      <w:lvlText w:val="o"/>
      <w:lvlJc w:val="left"/>
      <w:pPr>
        <w:tabs>
          <w:tab w:val="num" w:pos="1440"/>
        </w:tabs>
        <w:ind w:left="1440" w:hanging="360"/>
      </w:pPr>
      <w:rPr>
        <w:rFonts w:ascii="Courier New" w:hAnsi="Courier New" w:hint="default"/>
        <w:color w:val="000000"/>
      </w:rPr>
    </w:lvl>
    <w:lvl w:ilvl="2" w:tplc="5A48D92C" w:tentative="1">
      <w:start w:val="1"/>
      <w:numFmt w:val="bullet"/>
      <w:lvlText w:val=""/>
      <w:lvlJc w:val="left"/>
      <w:pPr>
        <w:tabs>
          <w:tab w:val="num" w:pos="2160"/>
        </w:tabs>
        <w:ind w:left="2160" w:hanging="360"/>
      </w:pPr>
      <w:rPr>
        <w:rFonts w:ascii="Wingdings" w:hAnsi="Wingdings" w:hint="default"/>
        <w:color w:val="000000"/>
      </w:rPr>
    </w:lvl>
    <w:lvl w:ilvl="3" w:tplc="48C62AB8" w:tentative="1">
      <w:start w:val="1"/>
      <w:numFmt w:val="bullet"/>
      <w:lvlText w:val=""/>
      <w:lvlJc w:val="left"/>
      <w:pPr>
        <w:tabs>
          <w:tab w:val="num" w:pos="2880"/>
        </w:tabs>
        <w:ind w:left="2880" w:hanging="360"/>
      </w:pPr>
      <w:rPr>
        <w:rFonts w:ascii="Symbol" w:hAnsi="Symbol" w:hint="default"/>
        <w:color w:val="000000"/>
      </w:rPr>
    </w:lvl>
    <w:lvl w:ilvl="4" w:tplc="7B4812EC" w:tentative="1">
      <w:start w:val="1"/>
      <w:numFmt w:val="bullet"/>
      <w:lvlText w:val="o"/>
      <w:lvlJc w:val="left"/>
      <w:pPr>
        <w:tabs>
          <w:tab w:val="num" w:pos="3600"/>
        </w:tabs>
        <w:ind w:left="3600" w:hanging="360"/>
      </w:pPr>
      <w:rPr>
        <w:rFonts w:ascii="Courier New" w:hAnsi="Courier New" w:hint="default"/>
        <w:color w:val="000000"/>
      </w:rPr>
    </w:lvl>
    <w:lvl w:ilvl="5" w:tplc="4E8231E2" w:tentative="1">
      <w:start w:val="1"/>
      <w:numFmt w:val="bullet"/>
      <w:lvlText w:val=""/>
      <w:lvlJc w:val="left"/>
      <w:pPr>
        <w:tabs>
          <w:tab w:val="num" w:pos="4320"/>
        </w:tabs>
        <w:ind w:left="4320" w:hanging="360"/>
      </w:pPr>
      <w:rPr>
        <w:rFonts w:ascii="Wingdings" w:hAnsi="Wingdings" w:hint="default"/>
        <w:color w:val="000000"/>
      </w:rPr>
    </w:lvl>
    <w:lvl w:ilvl="6" w:tplc="AC4A45A2" w:tentative="1">
      <w:start w:val="1"/>
      <w:numFmt w:val="bullet"/>
      <w:lvlText w:val=""/>
      <w:lvlJc w:val="left"/>
      <w:pPr>
        <w:tabs>
          <w:tab w:val="num" w:pos="5040"/>
        </w:tabs>
        <w:ind w:left="5040" w:hanging="360"/>
      </w:pPr>
      <w:rPr>
        <w:rFonts w:ascii="Symbol" w:hAnsi="Symbol" w:hint="default"/>
        <w:color w:val="000000"/>
      </w:rPr>
    </w:lvl>
    <w:lvl w:ilvl="7" w:tplc="5DF63100" w:tentative="1">
      <w:start w:val="1"/>
      <w:numFmt w:val="bullet"/>
      <w:lvlText w:val="o"/>
      <w:lvlJc w:val="left"/>
      <w:pPr>
        <w:tabs>
          <w:tab w:val="num" w:pos="5760"/>
        </w:tabs>
        <w:ind w:left="5760" w:hanging="360"/>
      </w:pPr>
      <w:rPr>
        <w:rFonts w:ascii="Courier New" w:hAnsi="Courier New" w:hint="default"/>
        <w:color w:val="000000"/>
      </w:rPr>
    </w:lvl>
    <w:lvl w:ilvl="8" w:tplc="B100DA74" w:tentative="1">
      <w:start w:val="1"/>
      <w:numFmt w:val="bullet"/>
      <w:lvlText w:val=""/>
      <w:lvlJc w:val="left"/>
      <w:pPr>
        <w:tabs>
          <w:tab w:val="num" w:pos="6480"/>
        </w:tabs>
        <w:ind w:left="6480" w:hanging="360"/>
      </w:pPr>
      <w:rPr>
        <w:rFonts w:ascii="Wingdings" w:hAnsi="Wingdings" w:hint="default"/>
        <w:color w:val="000000"/>
      </w:rPr>
    </w:lvl>
  </w:abstractNum>
  <w:abstractNum w:abstractNumId="9" w15:restartNumberingAfterBreak="0">
    <w:nsid w:val="41E413A1"/>
    <w:multiLevelType w:val="hybridMultilevel"/>
    <w:tmpl w:val="79DA2354"/>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lowerLetter"/>
      <w:lvlText w:val="%2."/>
      <w:lvlJc w:val="left"/>
      <w:pPr>
        <w:tabs>
          <w:tab w:val="num" w:pos="450"/>
        </w:tabs>
        <w:ind w:left="450" w:hanging="360"/>
      </w:pPr>
      <w:rPr>
        <w:color w:val="000000"/>
      </w:rPr>
    </w:lvl>
    <w:lvl w:ilvl="2" w:tplc="DDB4EA6E" w:tentative="1">
      <w:start w:val="1"/>
      <w:numFmt w:val="lowerRoman"/>
      <w:lvlText w:val="%3."/>
      <w:lvlJc w:val="right"/>
      <w:pPr>
        <w:tabs>
          <w:tab w:val="num" w:pos="1170"/>
        </w:tabs>
        <w:ind w:left="1170" w:hanging="180"/>
      </w:pPr>
      <w:rPr>
        <w:color w:val="000000"/>
      </w:rPr>
    </w:lvl>
    <w:lvl w:ilvl="3" w:tplc="29809B5E" w:tentative="1">
      <w:start w:val="1"/>
      <w:numFmt w:val="decimal"/>
      <w:lvlText w:val="%4."/>
      <w:lvlJc w:val="left"/>
      <w:pPr>
        <w:tabs>
          <w:tab w:val="num" w:pos="1890"/>
        </w:tabs>
        <w:ind w:left="1890" w:hanging="360"/>
      </w:pPr>
      <w:rPr>
        <w:color w:val="000000"/>
      </w:rPr>
    </w:lvl>
    <w:lvl w:ilvl="4" w:tplc="EBA6C760" w:tentative="1">
      <w:start w:val="1"/>
      <w:numFmt w:val="lowerLetter"/>
      <w:lvlText w:val="%5."/>
      <w:lvlJc w:val="left"/>
      <w:pPr>
        <w:tabs>
          <w:tab w:val="num" w:pos="2610"/>
        </w:tabs>
        <w:ind w:left="2610" w:hanging="360"/>
      </w:pPr>
      <w:rPr>
        <w:color w:val="000000"/>
      </w:rPr>
    </w:lvl>
    <w:lvl w:ilvl="5" w:tplc="34528038" w:tentative="1">
      <w:start w:val="1"/>
      <w:numFmt w:val="lowerRoman"/>
      <w:lvlText w:val="%6."/>
      <w:lvlJc w:val="right"/>
      <w:pPr>
        <w:tabs>
          <w:tab w:val="num" w:pos="3330"/>
        </w:tabs>
        <w:ind w:left="3330" w:hanging="180"/>
      </w:pPr>
      <w:rPr>
        <w:color w:val="000000"/>
      </w:rPr>
    </w:lvl>
    <w:lvl w:ilvl="6" w:tplc="2CE232B2" w:tentative="1">
      <w:start w:val="1"/>
      <w:numFmt w:val="decimal"/>
      <w:lvlText w:val="%7."/>
      <w:lvlJc w:val="left"/>
      <w:pPr>
        <w:tabs>
          <w:tab w:val="num" w:pos="4050"/>
        </w:tabs>
        <w:ind w:left="4050" w:hanging="360"/>
      </w:pPr>
      <w:rPr>
        <w:color w:val="000000"/>
      </w:rPr>
    </w:lvl>
    <w:lvl w:ilvl="7" w:tplc="2A741F06" w:tentative="1">
      <w:start w:val="1"/>
      <w:numFmt w:val="lowerLetter"/>
      <w:lvlText w:val="%8."/>
      <w:lvlJc w:val="left"/>
      <w:pPr>
        <w:tabs>
          <w:tab w:val="num" w:pos="4770"/>
        </w:tabs>
        <w:ind w:left="4770" w:hanging="360"/>
      </w:pPr>
      <w:rPr>
        <w:color w:val="000000"/>
      </w:rPr>
    </w:lvl>
    <w:lvl w:ilvl="8" w:tplc="CCEE42C4" w:tentative="1">
      <w:start w:val="1"/>
      <w:numFmt w:val="lowerRoman"/>
      <w:lvlText w:val="%9."/>
      <w:lvlJc w:val="right"/>
      <w:pPr>
        <w:tabs>
          <w:tab w:val="num" w:pos="5490"/>
        </w:tabs>
        <w:ind w:left="5490" w:hanging="180"/>
      </w:pPr>
      <w:rPr>
        <w:color w:val="000000"/>
      </w:rPr>
    </w:lvl>
  </w:abstractNum>
  <w:abstractNum w:abstractNumId="10" w15:restartNumberingAfterBreak="0">
    <w:nsid w:val="4AF42688"/>
    <w:multiLevelType w:val="hybridMultilevel"/>
    <w:tmpl w:val="B686C8DE"/>
    <w:lvl w:ilvl="0" w:tplc="4C8CED1A">
      <w:start w:val="1"/>
      <w:numFmt w:val="bullet"/>
      <w:lvlText w:val=""/>
      <w:lvlJc w:val="left"/>
      <w:pPr>
        <w:tabs>
          <w:tab w:val="num" w:pos="850"/>
        </w:tabs>
        <w:ind w:left="850" w:hanging="850"/>
      </w:pPr>
      <w:rPr>
        <w:rFonts w:ascii="Symbol" w:hAnsi="Symbol" w:hint="default"/>
        <w:color w:val="000000"/>
      </w:rPr>
    </w:lvl>
    <w:lvl w:ilvl="1" w:tplc="FDA415A0" w:tentative="1">
      <w:start w:val="1"/>
      <w:numFmt w:val="lowerLetter"/>
      <w:lvlText w:val="%2."/>
      <w:lvlJc w:val="left"/>
      <w:pPr>
        <w:tabs>
          <w:tab w:val="num" w:pos="450"/>
        </w:tabs>
        <w:ind w:left="450" w:hanging="360"/>
      </w:pPr>
      <w:rPr>
        <w:color w:val="000000"/>
      </w:rPr>
    </w:lvl>
    <w:lvl w:ilvl="2" w:tplc="64408462" w:tentative="1">
      <w:start w:val="1"/>
      <w:numFmt w:val="lowerRoman"/>
      <w:lvlText w:val="%3."/>
      <w:lvlJc w:val="right"/>
      <w:pPr>
        <w:tabs>
          <w:tab w:val="num" w:pos="1170"/>
        </w:tabs>
        <w:ind w:left="1170" w:hanging="180"/>
      </w:pPr>
      <w:rPr>
        <w:color w:val="000000"/>
      </w:rPr>
    </w:lvl>
    <w:lvl w:ilvl="3" w:tplc="C256F58E" w:tentative="1">
      <w:start w:val="1"/>
      <w:numFmt w:val="decimal"/>
      <w:lvlText w:val="%4."/>
      <w:lvlJc w:val="left"/>
      <w:pPr>
        <w:tabs>
          <w:tab w:val="num" w:pos="1890"/>
        </w:tabs>
        <w:ind w:left="1890" w:hanging="360"/>
      </w:pPr>
      <w:rPr>
        <w:color w:val="000000"/>
      </w:rPr>
    </w:lvl>
    <w:lvl w:ilvl="4" w:tplc="95DCA8C4" w:tentative="1">
      <w:start w:val="1"/>
      <w:numFmt w:val="lowerLetter"/>
      <w:lvlText w:val="%5."/>
      <w:lvlJc w:val="left"/>
      <w:pPr>
        <w:tabs>
          <w:tab w:val="num" w:pos="2610"/>
        </w:tabs>
        <w:ind w:left="2610" w:hanging="360"/>
      </w:pPr>
      <w:rPr>
        <w:color w:val="000000"/>
      </w:rPr>
    </w:lvl>
    <w:lvl w:ilvl="5" w:tplc="4DF646FA" w:tentative="1">
      <w:start w:val="1"/>
      <w:numFmt w:val="lowerRoman"/>
      <w:lvlText w:val="%6."/>
      <w:lvlJc w:val="right"/>
      <w:pPr>
        <w:tabs>
          <w:tab w:val="num" w:pos="3330"/>
        </w:tabs>
        <w:ind w:left="3330" w:hanging="180"/>
      </w:pPr>
      <w:rPr>
        <w:color w:val="000000"/>
      </w:rPr>
    </w:lvl>
    <w:lvl w:ilvl="6" w:tplc="3C0AB86E" w:tentative="1">
      <w:start w:val="1"/>
      <w:numFmt w:val="decimal"/>
      <w:lvlText w:val="%7."/>
      <w:lvlJc w:val="left"/>
      <w:pPr>
        <w:tabs>
          <w:tab w:val="num" w:pos="4050"/>
        </w:tabs>
        <w:ind w:left="4050" w:hanging="360"/>
      </w:pPr>
      <w:rPr>
        <w:color w:val="000000"/>
      </w:rPr>
    </w:lvl>
    <w:lvl w:ilvl="7" w:tplc="6D20E054" w:tentative="1">
      <w:start w:val="1"/>
      <w:numFmt w:val="lowerLetter"/>
      <w:lvlText w:val="%8."/>
      <w:lvlJc w:val="left"/>
      <w:pPr>
        <w:tabs>
          <w:tab w:val="num" w:pos="4770"/>
        </w:tabs>
        <w:ind w:left="4770" w:hanging="360"/>
      </w:pPr>
      <w:rPr>
        <w:color w:val="000000"/>
      </w:rPr>
    </w:lvl>
    <w:lvl w:ilvl="8" w:tplc="C6E2405A" w:tentative="1">
      <w:start w:val="1"/>
      <w:numFmt w:val="lowerRoman"/>
      <w:lvlText w:val="%9."/>
      <w:lvlJc w:val="right"/>
      <w:pPr>
        <w:tabs>
          <w:tab w:val="num" w:pos="5490"/>
        </w:tabs>
        <w:ind w:left="5490" w:hanging="180"/>
      </w:pPr>
      <w:rPr>
        <w:color w:val="000000"/>
      </w:rPr>
    </w:lvl>
  </w:abstractNum>
  <w:abstractNum w:abstractNumId="11" w15:restartNumberingAfterBreak="0">
    <w:nsid w:val="51672B27"/>
    <w:multiLevelType w:val="hybridMultilevel"/>
    <w:tmpl w:val="49F8151A"/>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lowerLetter"/>
      <w:lvlText w:val="%2."/>
      <w:lvlJc w:val="left"/>
      <w:pPr>
        <w:tabs>
          <w:tab w:val="num" w:pos="450"/>
        </w:tabs>
        <w:ind w:left="450" w:hanging="360"/>
      </w:pPr>
      <w:rPr>
        <w:color w:val="000000"/>
      </w:rPr>
    </w:lvl>
    <w:lvl w:ilvl="2" w:tplc="DDB4EA6E" w:tentative="1">
      <w:start w:val="1"/>
      <w:numFmt w:val="lowerRoman"/>
      <w:lvlText w:val="%3."/>
      <w:lvlJc w:val="right"/>
      <w:pPr>
        <w:tabs>
          <w:tab w:val="num" w:pos="1170"/>
        </w:tabs>
        <w:ind w:left="1170" w:hanging="180"/>
      </w:pPr>
      <w:rPr>
        <w:color w:val="000000"/>
      </w:rPr>
    </w:lvl>
    <w:lvl w:ilvl="3" w:tplc="29809B5E" w:tentative="1">
      <w:start w:val="1"/>
      <w:numFmt w:val="decimal"/>
      <w:lvlText w:val="%4."/>
      <w:lvlJc w:val="left"/>
      <w:pPr>
        <w:tabs>
          <w:tab w:val="num" w:pos="1890"/>
        </w:tabs>
        <w:ind w:left="1890" w:hanging="360"/>
      </w:pPr>
      <w:rPr>
        <w:color w:val="000000"/>
      </w:rPr>
    </w:lvl>
    <w:lvl w:ilvl="4" w:tplc="EBA6C760" w:tentative="1">
      <w:start w:val="1"/>
      <w:numFmt w:val="lowerLetter"/>
      <w:lvlText w:val="%5."/>
      <w:lvlJc w:val="left"/>
      <w:pPr>
        <w:tabs>
          <w:tab w:val="num" w:pos="2610"/>
        </w:tabs>
        <w:ind w:left="2610" w:hanging="360"/>
      </w:pPr>
      <w:rPr>
        <w:color w:val="000000"/>
      </w:rPr>
    </w:lvl>
    <w:lvl w:ilvl="5" w:tplc="34528038" w:tentative="1">
      <w:start w:val="1"/>
      <w:numFmt w:val="lowerRoman"/>
      <w:lvlText w:val="%6."/>
      <w:lvlJc w:val="right"/>
      <w:pPr>
        <w:tabs>
          <w:tab w:val="num" w:pos="3330"/>
        </w:tabs>
        <w:ind w:left="3330" w:hanging="180"/>
      </w:pPr>
      <w:rPr>
        <w:color w:val="000000"/>
      </w:rPr>
    </w:lvl>
    <w:lvl w:ilvl="6" w:tplc="2CE232B2" w:tentative="1">
      <w:start w:val="1"/>
      <w:numFmt w:val="decimal"/>
      <w:lvlText w:val="%7."/>
      <w:lvlJc w:val="left"/>
      <w:pPr>
        <w:tabs>
          <w:tab w:val="num" w:pos="4050"/>
        </w:tabs>
        <w:ind w:left="4050" w:hanging="360"/>
      </w:pPr>
      <w:rPr>
        <w:color w:val="000000"/>
      </w:rPr>
    </w:lvl>
    <w:lvl w:ilvl="7" w:tplc="2A741F06" w:tentative="1">
      <w:start w:val="1"/>
      <w:numFmt w:val="lowerLetter"/>
      <w:lvlText w:val="%8."/>
      <w:lvlJc w:val="left"/>
      <w:pPr>
        <w:tabs>
          <w:tab w:val="num" w:pos="4770"/>
        </w:tabs>
        <w:ind w:left="4770" w:hanging="360"/>
      </w:pPr>
      <w:rPr>
        <w:color w:val="000000"/>
      </w:rPr>
    </w:lvl>
    <w:lvl w:ilvl="8" w:tplc="CCEE42C4" w:tentative="1">
      <w:start w:val="1"/>
      <w:numFmt w:val="lowerRoman"/>
      <w:lvlText w:val="%9."/>
      <w:lvlJc w:val="right"/>
      <w:pPr>
        <w:tabs>
          <w:tab w:val="num" w:pos="5490"/>
        </w:tabs>
        <w:ind w:left="5490" w:hanging="180"/>
      </w:pPr>
      <w:rPr>
        <w:color w:val="000000"/>
      </w:rPr>
    </w:lvl>
  </w:abstractNum>
  <w:abstractNum w:abstractNumId="12" w15:restartNumberingAfterBreak="0">
    <w:nsid w:val="55C47C49"/>
    <w:multiLevelType w:val="hybridMultilevel"/>
    <w:tmpl w:val="C074B8CE"/>
    <w:lvl w:ilvl="0" w:tplc="4C8CED1A">
      <w:start w:val="1"/>
      <w:numFmt w:val="bullet"/>
      <w:lvlText w:val=""/>
      <w:lvlJc w:val="left"/>
      <w:pPr>
        <w:tabs>
          <w:tab w:val="num" w:pos="850"/>
        </w:tabs>
        <w:ind w:left="850" w:hanging="850"/>
      </w:pPr>
      <w:rPr>
        <w:rFonts w:ascii="Symbol" w:hAnsi="Symbol" w:hint="default"/>
        <w:color w:val="000000"/>
      </w:rPr>
    </w:lvl>
    <w:lvl w:ilvl="1" w:tplc="5C441076" w:tentative="1">
      <w:start w:val="1"/>
      <w:numFmt w:val="lowerLetter"/>
      <w:lvlText w:val="%2."/>
      <w:lvlJc w:val="left"/>
      <w:pPr>
        <w:tabs>
          <w:tab w:val="num" w:pos="450"/>
        </w:tabs>
        <w:ind w:left="450" w:hanging="360"/>
      </w:pPr>
      <w:rPr>
        <w:color w:val="000000"/>
      </w:rPr>
    </w:lvl>
    <w:lvl w:ilvl="2" w:tplc="8D3A67BA" w:tentative="1">
      <w:start w:val="1"/>
      <w:numFmt w:val="lowerRoman"/>
      <w:lvlText w:val="%3."/>
      <w:lvlJc w:val="right"/>
      <w:pPr>
        <w:tabs>
          <w:tab w:val="num" w:pos="1170"/>
        </w:tabs>
        <w:ind w:left="1170" w:hanging="180"/>
      </w:pPr>
      <w:rPr>
        <w:color w:val="000000"/>
      </w:rPr>
    </w:lvl>
    <w:lvl w:ilvl="3" w:tplc="FCCCE454" w:tentative="1">
      <w:start w:val="1"/>
      <w:numFmt w:val="decimal"/>
      <w:lvlText w:val="%4."/>
      <w:lvlJc w:val="left"/>
      <w:pPr>
        <w:tabs>
          <w:tab w:val="num" w:pos="1890"/>
        </w:tabs>
        <w:ind w:left="1890" w:hanging="360"/>
      </w:pPr>
      <w:rPr>
        <w:color w:val="000000"/>
      </w:rPr>
    </w:lvl>
    <w:lvl w:ilvl="4" w:tplc="FA6A6D0C" w:tentative="1">
      <w:start w:val="1"/>
      <w:numFmt w:val="lowerLetter"/>
      <w:lvlText w:val="%5."/>
      <w:lvlJc w:val="left"/>
      <w:pPr>
        <w:tabs>
          <w:tab w:val="num" w:pos="2610"/>
        </w:tabs>
        <w:ind w:left="2610" w:hanging="360"/>
      </w:pPr>
      <w:rPr>
        <w:color w:val="000000"/>
      </w:rPr>
    </w:lvl>
    <w:lvl w:ilvl="5" w:tplc="8E8E7752" w:tentative="1">
      <w:start w:val="1"/>
      <w:numFmt w:val="lowerRoman"/>
      <w:lvlText w:val="%6."/>
      <w:lvlJc w:val="right"/>
      <w:pPr>
        <w:tabs>
          <w:tab w:val="num" w:pos="3330"/>
        </w:tabs>
        <w:ind w:left="3330" w:hanging="180"/>
      </w:pPr>
      <w:rPr>
        <w:color w:val="000000"/>
      </w:rPr>
    </w:lvl>
    <w:lvl w:ilvl="6" w:tplc="F0F45C90" w:tentative="1">
      <w:start w:val="1"/>
      <w:numFmt w:val="decimal"/>
      <w:lvlText w:val="%7."/>
      <w:lvlJc w:val="left"/>
      <w:pPr>
        <w:tabs>
          <w:tab w:val="num" w:pos="4050"/>
        </w:tabs>
        <w:ind w:left="4050" w:hanging="360"/>
      </w:pPr>
      <w:rPr>
        <w:color w:val="000000"/>
      </w:rPr>
    </w:lvl>
    <w:lvl w:ilvl="7" w:tplc="A6DE3D30" w:tentative="1">
      <w:start w:val="1"/>
      <w:numFmt w:val="lowerLetter"/>
      <w:lvlText w:val="%8."/>
      <w:lvlJc w:val="left"/>
      <w:pPr>
        <w:tabs>
          <w:tab w:val="num" w:pos="4770"/>
        </w:tabs>
        <w:ind w:left="4770" w:hanging="360"/>
      </w:pPr>
      <w:rPr>
        <w:color w:val="000000"/>
      </w:rPr>
    </w:lvl>
    <w:lvl w:ilvl="8" w:tplc="9F040226" w:tentative="1">
      <w:start w:val="1"/>
      <w:numFmt w:val="lowerRoman"/>
      <w:lvlText w:val="%9."/>
      <w:lvlJc w:val="right"/>
      <w:pPr>
        <w:tabs>
          <w:tab w:val="num" w:pos="5490"/>
        </w:tabs>
        <w:ind w:left="5490" w:hanging="180"/>
      </w:pPr>
      <w:rPr>
        <w:color w:val="000000"/>
      </w:rPr>
    </w:lvl>
  </w:abstractNum>
  <w:abstractNum w:abstractNumId="13" w15:restartNumberingAfterBreak="0">
    <w:nsid w:val="58241F4F"/>
    <w:multiLevelType w:val="hybridMultilevel"/>
    <w:tmpl w:val="37B8F8AE"/>
    <w:lvl w:ilvl="0" w:tplc="4C8CED1A">
      <w:start w:val="1"/>
      <w:numFmt w:val="bullet"/>
      <w:lvlText w:val=""/>
      <w:lvlJc w:val="left"/>
      <w:pPr>
        <w:tabs>
          <w:tab w:val="num" w:pos="850"/>
        </w:tabs>
        <w:ind w:left="850" w:hanging="850"/>
      </w:pPr>
      <w:rPr>
        <w:rFonts w:ascii="Symbol" w:hAnsi="Symbol" w:hint="default"/>
        <w:color w:val="000000"/>
      </w:rPr>
    </w:lvl>
    <w:lvl w:ilvl="1" w:tplc="A58212C8" w:tentative="1">
      <w:start w:val="1"/>
      <w:numFmt w:val="bullet"/>
      <w:lvlText w:val="o"/>
      <w:lvlJc w:val="left"/>
      <w:pPr>
        <w:tabs>
          <w:tab w:val="num" w:pos="1440"/>
        </w:tabs>
        <w:ind w:left="1440" w:hanging="360"/>
      </w:pPr>
      <w:rPr>
        <w:rFonts w:ascii="Courier New" w:hAnsi="Courier New" w:hint="default"/>
        <w:color w:val="000000"/>
      </w:rPr>
    </w:lvl>
    <w:lvl w:ilvl="2" w:tplc="246A731E" w:tentative="1">
      <w:start w:val="1"/>
      <w:numFmt w:val="bullet"/>
      <w:lvlText w:val=""/>
      <w:lvlJc w:val="left"/>
      <w:pPr>
        <w:tabs>
          <w:tab w:val="num" w:pos="2160"/>
        </w:tabs>
        <w:ind w:left="2160" w:hanging="360"/>
      </w:pPr>
      <w:rPr>
        <w:rFonts w:ascii="Wingdings" w:hAnsi="Wingdings" w:hint="default"/>
        <w:color w:val="000000"/>
      </w:rPr>
    </w:lvl>
    <w:lvl w:ilvl="3" w:tplc="4914DD32" w:tentative="1">
      <w:start w:val="1"/>
      <w:numFmt w:val="bullet"/>
      <w:lvlText w:val=""/>
      <w:lvlJc w:val="left"/>
      <w:pPr>
        <w:tabs>
          <w:tab w:val="num" w:pos="2880"/>
        </w:tabs>
        <w:ind w:left="2880" w:hanging="360"/>
      </w:pPr>
      <w:rPr>
        <w:rFonts w:ascii="Symbol" w:hAnsi="Symbol" w:hint="default"/>
        <w:color w:val="000000"/>
      </w:rPr>
    </w:lvl>
    <w:lvl w:ilvl="4" w:tplc="CD8E3606" w:tentative="1">
      <w:start w:val="1"/>
      <w:numFmt w:val="bullet"/>
      <w:lvlText w:val="o"/>
      <w:lvlJc w:val="left"/>
      <w:pPr>
        <w:tabs>
          <w:tab w:val="num" w:pos="3600"/>
        </w:tabs>
        <w:ind w:left="3600" w:hanging="360"/>
      </w:pPr>
      <w:rPr>
        <w:rFonts w:ascii="Courier New" w:hAnsi="Courier New" w:hint="default"/>
        <w:color w:val="000000"/>
      </w:rPr>
    </w:lvl>
    <w:lvl w:ilvl="5" w:tplc="0DA4CD82" w:tentative="1">
      <w:start w:val="1"/>
      <w:numFmt w:val="bullet"/>
      <w:lvlText w:val=""/>
      <w:lvlJc w:val="left"/>
      <w:pPr>
        <w:tabs>
          <w:tab w:val="num" w:pos="4320"/>
        </w:tabs>
        <w:ind w:left="4320" w:hanging="360"/>
      </w:pPr>
      <w:rPr>
        <w:rFonts w:ascii="Wingdings" w:hAnsi="Wingdings" w:hint="default"/>
        <w:color w:val="000000"/>
      </w:rPr>
    </w:lvl>
    <w:lvl w:ilvl="6" w:tplc="FD1845EE" w:tentative="1">
      <w:start w:val="1"/>
      <w:numFmt w:val="bullet"/>
      <w:lvlText w:val=""/>
      <w:lvlJc w:val="left"/>
      <w:pPr>
        <w:tabs>
          <w:tab w:val="num" w:pos="5040"/>
        </w:tabs>
        <w:ind w:left="5040" w:hanging="360"/>
      </w:pPr>
      <w:rPr>
        <w:rFonts w:ascii="Symbol" w:hAnsi="Symbol" w:hint="default"/>
        <w:color w:val="000000"/>
      </w:rPr>
    </w:lvl>
    <w:lvl w:ilvl="7" w:tplc="D39A587E" w:tentative="1">
      <w:start w:val="1"/>
      <w:numFmt w:val="bullet"/>
      <w:lvlText w:val="o"/>
      <w:lvlJc w:val="left"/>
      <w:pPr>
        <w:tabs>
          <w:tab w:val="num" w:pos="5760"/>
        </w:tabs>
        <w:ind w:left="5760" w:hanging="360"/>
      </w:pPr>
      <w:rPr>
        <w:rFonts w:ascii="Courier New" w:hAnsi="Courier New" w:hint="default"/>
        <w:color w:val="000000"/>
      </w:rPr>
    </w:lvl>
    <w:lvl w:ilvl="8" w:tplc="EF426600" w:tentative="1">
      <w:start w:val="1"/>
      <w:numFmt w:val="bullet"/>
      <w:lvlText w:val=""/>
      <w:lvlJc w:val="left"/>
      <w:pPr>
        <w:tabs>
          <w:tab w:val="num" w:pos="6480"/>
        </w:tabs>
        <w:ind w:left="6480" w:hanging="360"/>
      </w:pPr>
      <w:rPr>
        <w:rFonts w:ascii="Wingdings" w:hAnsi="Wingdings" w:hint="default"/>
        <w:color w:val="000000"/>
      </w:rPr>
    </w:lvl>
  </w:abstractNum>
  <w:abstractNum w:abstractNumId="14" w15:restartNumberingAfterBreak="0">
    <w:nsid w:val="5B3B25A9"/>
    <w:multiLevelType w:val="hybridMultilevel"/>
    <w:tmpl w:val="A5D8BD58"/>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bullet"/>
      <w:lvlText w:val="o"/>
      <w:lvlJc w:val="left"/>
      <w:pPr>
        <w:tabs>
          <w:tab w:val="num" w:pos="1440"/>
        </w:tabs>
        <w:ind w:left="1440" w:hanging="360"/>
      </w:pPr>
      <w:rPr>
        <w:rFonts w:ascii="Courier New" w:hAnsi="Courier New" w:hint="default"/>
        <w:color w:val="000000"/>
      </w:rPr>
    </w:lvl>
    <w:lvl w:ilvl="2" w:tplc="5A48D92C" w:tentative="1">
      <w:start w:val="1"/>
      <w:numFmt w:val="bullet"/>
      <w:lvlText w:val=""/>
      <w:lvlJc w:val="left"/>
      <w:pPr>
        <w:tabs>
          <w:tab w:val="num" w:pos="2160"/>
        </w:tabs>
        <w:ind w:left="2160" w:hanging="360"/>
      </w:pPr>
      <w:rPr>
        <w:rFonts w:ascii="Wingdings" w:hAnsi="Wingdings" w:hint="default"/>
        <w:color w:val="000000"/>
      </w:rPr>
    </w:lvl>
    <w:lvl w:ilvl="3" w:tplc="48C62AB8" w:tentative="1">
      <w:start w:val="1"/>
      <w:numFmt w:val="bullet"/>
      <w:lvlText w:val=""/>
      <w:lvlJc w:val="left"/>
      <w:pPr>
        <w:tabs>
          <w:tab w:val="num" w:pos="2880"/>
        </w:tabs>
        <w:ind w:left="2880" w:hanging="360"/>
      </w:pPr>
      <w:rPr>
        <w:rFonts w:ascii="Symbol" w:hAnsi="Symbol" w:hint="default"/>
        <w:color w:val="000000"/>
      </w:rPr>
    </w:lvl>
    <w:lvl w:ilvl="4" w:tplc="7B4812EC" w:tentative="1">
      <w:start w:val="1"/>
      <w:numFmt w:val="bullet"/>
      <w:lvlText w:val="o"/>
      <w:lvlJc w:val="left"/>
      <w:pPr>
        <w:tabs>
          <w:tab w:val="num" w:pos="3600"/>
        </w:tabs>
        <w:ind w:left="3600" w:hanging="360"/>
      </w:pPr>
      <w:rPr>
        <w:rFonts w:ascii="Courier New" w:hAnsi="Courier New" w:hint="default"/>
        <w:color w:val="000000"/>
      </w:rPr>
    </w:lvl>
    <w:lvl w:ilvl="5" w:tplc="4E8231E2" w:tentative="1">
      <w:start w:val="1"/>
      <w:numFmt w:val="bullet"/>
      <w:lvlText w:val=""/>
      <w:lvlJc w:val="left"/>
      <w:pPr>
        <w:tabs>
          <w:tab w:val="num" w:pos="4320"/>
        </w:tabs>
        <w:ind w:left="4320" w:hanging="360"/>
      </w:pPr>
      <w:rPr>
        <w:rFonts w:ascii="Wingdings" w:hAnsi="Wingdings" w:hint="default"/>
        <w:color w:val="000000"/>
      </w:rPr>
    </w:lvl>
    <w:lvl w:ilvl="6" w:tplc="AC4A45A2" w:tentative="1">
      <w:start w:val="1"/>
      <w:numFmt w:val="bullet"/>
      <w:lvlText w:val=""/>
      <w:lvlJc w:val="left"/>
      <w:pPr>
        <w:tabs>
          <w:tab w:val="num" w:pos="5040"/>
        </w:tabs>
        <w:ind w:left="5040" w:hanging="360"/>
      </w:pPr>
      <w:rPr>
        <w:rFonts w:ascii="Symbol" w:hAnsi="Symbol" w:hint="default"/>
        <w:color w:val="000000"/>
      </w:rPr>
    </w:lvl>
    <w:lvl w:ilvl="7" w:tplc="5DF63100" w:tentative="1">
      <w:start w:val="1"/>
      <w:numFmt w:val="bullet"/>
      <w:lvlText w:val="o"/>
      <w:lvlJc w:val="left"/>
      <w:pPr>
        <w:tabs>
          <w:tab w:val="num" w:pos="5760"/>
        </w:tabs>
        <w:ind w:left="5760" w:hanging="360"/>
      </w:pPr>
      <w:rPr>
        <w:rFonts w:ascii="Courier New" w:hAnsi="Courier New" w:hint="default"/>
        <w:color w:val="000000"/>
      </w:rPr>
    </w:lvl>
    <w:lvl w:ilvl="8" w:tplc="B100DA74" w:tentative="1">
      <w:start w:val="1"/>
      <w:numFmt w:val="bullet"/>
      <w:lvlText w:val=""/>
      <w:lvlJc w:val="left"/>
      <w:pPr>
        <w:tabs>
          <w:tab w:val="num" w:pos="6480"/>
        </w:tabs>
        <w:ind w:left="6480" w:hanging="360"/>
      </w:pPr>
      <w:rPr>
        <w:rFonts w:ascii="Wingdings" w:hAnsi="Wingdings" w:hint="default"/>
        <w:color w:val="000000"/>
      </w:rPr>
    </w:lvl>
  </w:abstractNum>
  <w:abstractNum w:abstractNumId="15" w15:restartNumberingAfterBreak="0">
    <w:nsid w:val="6525197A"/>
    <w:multiLevelType w:val="hybridMultilevel"/>
    <w:tmpl w:val="FF4A3E68"/>
    <w:lvl w:ilvl="0" w:tplc="4C8CED1A">
      <w:start w:val="1"/>
      <w:numFmt w:val="bullet"/>
      <w:lvlText w:val=""/>
      <w:lvlJc w:val="left"/>
      <w:pPr>
        <w:tabs>
          <w:tab w:val="num" w:pos="850"/>
        </w:tabs>
        <w:ind w:left="850" w:hanging="850"/>
      </w:pPr>
      <w:rPr>
        <w:rFonts w:ascii="Symbol" w:hAnsi="Symbol" w:hint="default"/>
        <w:color w:val="000000"/>
      </w:rPr>
    </w:lvl>
    <w:lvl w:ilvl="1" w:tplc="748ED90E" w:tentative="1">
      <w:start w:val="1"/>
      <w:numFmt w:val="bullet"/>
      <w:lvlText w:val="o"/>
      <w:lvlJc w:val="left"/>
      <w:pPr>
        <w:tabs>
          <w:tab w:val="num" w:pos="1440"/>
        </w:tabs>
        <w:ind w:left="1440" w:hanging="360"/>
      </w:pPr>
      <w:rPr>
        <w:rFonts w:ascii="Courier New" w:hAnsi="Courier New" w:hint="default"/>
        <w:color w:val="000000"/>
      </w:rPr>
    </w:lvl>
    <w:lvl w:ilvl="2" w:tplc="584CC6FC" w:tentative="1">
      <w:start w:val="1"/>
      <w:numFmt w:val="bullet"/>
      <w:lvlText w:val=""/>
      <w:lvlJc w:val="left"/>
      <w:pPr>
        <w:tabs>
          <w:tab w:val="num" w:pos="2160"/>
        </w:tabs>
        <w:ind w:left="2160" w:hanging="360"/>
      </w:pPr>
      <w:rPr>
        <w:rFonts w:ascii="Wingdings" w:hAnsi="Wingdings" w:hint="default"/>
        <w:color w:val="000000"/>
      </w:rPr>
    </w:lvl>
    <w:lvl w:ilvl="3" w:tplc="377E6142" w:tentative="1">
      <w:start w:val="1"/>
      <w:numFmt w:val="bullet"/>
      <w:lvlText w:val=""/>
      <w:lvlJc w:val="left"/>
      <w:pPr>
        <w:tabs>
          <w:tab w:val="num" w:pos="2880"/>
        </w:tabs>
        <w:ind w:left="2880" w:hanging="360"/>
      </w:pPr>
      <w:rPr>
        <w:rFonts w:ascii="Symbol" w:hAnsi="Symbol" w:hint="default"/>
        <w:color w:val="000000"/>
      </w:rPr>
    </w:lvl>
    <w:lvl w:ilvl="4" w:tplc="8D8E2970" w:tentative="1">
      <w:start w:val="1"/>
      <w:numFmt w:val="bullet"/>
      <w:lvlText w:val="o"/>
      <w:lvlJc w:val="left"/>
      <w:pPr>
        <w:tabs>
          <w:tab w:val="num" w:pos="3600"/>
        </w:tabs>
        <w:ind w:left="3600" w:hanging="360"/>
      </w:pPr>
      <w:rPr>
        <w:rFonts w:ascii="Courier New" w:hAnsi="Courier New" w:hint="default"/>
        <w:color w:val="000000"/>
      </w:rPr>
    </w:lvl>
    <w:lvl w:ilvl="5" w:tplc="01D21FB2" w:tentative="1">
      <w:start w:val="1"/>
      <w:numFmt w:val="bullet"/>
      <w:lvlText w:val=""/>
      <w:lvlJc w:val="left"/>
      <w:pPr>
        <w:tabs>
          <w:tab w:val="num" w:pos="4320"/>
        </w:tabs>
        <w:ind w:left="4320" w:hanging="360"/>
      </w:pPr>
      <w:rPr>
        <w:rFonts w:ascii="Wingdings" w:hAnsi="Wingdings" w:hint="default"/>
        <w:color w:val="000000"/>
      </w:rPr>
    </w:lvl>
    <w:lvl w:ilvl="6" w:tplc="0C8C9A84" w:tentative="1">
      <w:start w:val="1"/>
      <w:numFmt w:val="bullet"/>
      <w:lvlText w:val=""/>
      <w:lvlJc w:val="left"/>
      <w:pPr>
        <w:tabs>
          <w:tab w:val="num" w:pos="5040"/>
        </w:tabs>
        <w:ind w:left="5040" w:hanging="360"/>
      </w:pPr>
      <w:rPr>
        <w:rFonts w:ascii="Symbol" w:hAnsi="Symbol" w:hint="default"/>
        <w:color w:val="000000"/>
      </w:rPr>
    </w:lvl>
    <w:lvl w:ilvl="7" w:tplc="AF20F1C0" w:tentative="1">
      <w:start w:val="1"/>
      <w:numFmt w:val="bullet"/>
      <w:lvlText w:val="o"/>
      <w:lvlJc w:val="left"/>
      <w:pPr>
        <w:tabs>
          <w:tab w:val="num" w:pos="5760"/>
        </w:tabs>
        <w:ind w:left="5760" w:hanging="360"/>
      </w:pPr>
      <w:rPr>
        <w:rFonts w:ascii="Courier New" w:hAnsi="Courier New" w:hint="default"/>
        <w:color w:val="000000"/>
      </w:rPr>
    </w:lvl>
    <w:lvl w:ilvl="8" w:tplc="95CA12FA" w:tentative="1">
      <w:start w:val="1"/>
      <w:numFmt w:val="bullet"/>
      <w:lvlText w:val=""/>
      <w:lvlJc w:val="left"/>
      <w:pPr>
        <w:tabs>
          <w:tab w:val="num" w:pos="6480"/>
        </w:tabs>
        <w:ind w:left="6480" w:hanging="360"/>
      </w:pPr>
      <w:rPr>
        <w:rFonts w:ascii="Wingdings" w:hAnsi="Wingdings" w:hint="default"/>
        <w:color w:val="000000"/>
      </w:rPr>
    </w:lvl>
  </w:abstractNum>
  <w:abstractNum w:abstractNumId="16" w15:restartNumberingAfterBreak="0">
    <w:nsid w:val="796E3E7A"/>
    <w:multiLevelType w:val="hybridMultilevel"/>
    <w:tmpl w:val="70CE2712"/>
    <w:lvl w:ilvl="0" w:tplc="4C8CED1A">
      <w:start w:val="1"/>
      <w:numFmt w:val="bullet"/>
      <w:lvlText w:val=""/>
      <w:lvlJc w:val="left"/>
      <w:pPr>
        <w:tabs>
          <w:tab w:val="num" w:pos="850"/>
        </w:tabs>
        <w:ind w:left="850" w:hanging="850"/>
      </w:pPr>
      <w:rPr>
        <w:rFonts w:ascii="Symbol" w:hAnsi="Symbol" w:hint="default"/>
        <w:color w:val="000000"/>
      </w:rPr>
    </w:lvl>
    <w:lvl w:ilvl="1" w:tplc="298C426E" w:tentative="1">
      <w:start w:val="1"/>
      <w:numFmt w:val="bullet"/>
      <w:lvlText w:val="o"/>
      <w:lvlJc w:val="left"/>
      <w:pPr>
        <w:tabs>
          <w:tab w:val="num" w:pos="1440"/>
        </w:tabs>
        <w:ind w:left="1440" w:hanging="360"/>
      </w:pPr>
      <w:rPr>
        <w:rFonts w:ascii="Courier New" w:hAnsi="Courier New" w:hint="default"/>
        <w:color w:val="000000"/>
      </w:rPr>
    </w:lvl>
    <w:lvl w:ilvl="2" w:tplc="BC34C016" w:tentative="1">
      <w:start w:val="1"/>
      <w:numFmt w:val="bullet"/>
      <w:lvlText w:val=""/>
      <w:lvlJc w:val="left"/>
      <w:pPr>
        <w:tabs>
          <w:tab w:val="num" w:pos="2160"/>
        </w:tabs>
        <w:ind w:left="2160" w:hanging="360"/>
      </w:pPr>
      <w:rPr>
        <w:rFonts w:ascii="Wingdings" w:hAnsi="Wingdings" w:hint="default"/>
        <w:color w:val="000000"/>
      </w:rPr>
    </w:lvl>
    <w:lvl w:ilvl="3" w:tplc="49E6617C" w:tentative="1">
      <w:start w:val="1"/>
      <w:numFmt w:val="bullet"/>
      <w:lvlText w:val=""/>
      <w:lvlJc w:val="left"/>
      <w:pPr>
        <w:tabs>
          <w:tab w:val="num" w:pos="2880"/>
        </w:tabs>
        <w:ind w:left="2880" w:hanging="360"/>
      </w:pPr>
      <w:rPr>
        <w:rFonts w:ascii="Symbol" w:hAnsi="Symbol" w:hint="default"/>
        <w:color w:val="000000"/>
      </w:rPr>
    </w:lvl>
    <w:lvl w:ilvl="4" w:tplc="A94A1C1E" w:tentative="1">
      <w:start w:val="1"/>
      <w:numFmt w:val="bullet"/>
      <w:lvlText w:val="o"/>
      <w:lvlJc w:val="left"/>
      <w:pPr>
        <w:tabs>
          <w:tab w:val="num" w:pos="3600"/>
        </w:tabs>
        <w:ind w:left="3600" w:hanging="360"/>
      </w:pPr>
      <w:rPr>
        <w:rFonts w:ascii="Courier New" w:hAnsi="Courier New" w:hint="default"/>
        <w:color w:val="000000"/>
      </w:rPr>
    </w:lvl>
    <w:lvl w:ilvl="5" w:tplc="AF1EC74C" w:tentative="1">
      <w:start w:val="1"/>
      <w:numFmt w:val="bullet"/>
      <w:lvlText w:val=""/>
      <w:lvlJc w:val="left"/>
      <w:pPr>
        <w:tabs>
          <w:tab w:val="num" w:pos="4320"/>
        </w:tabs>
        <w:ind w:left="4320" w:hanging="360"/>
      </w:pPr>
      <w:rPr>
        <w:rFonts w:ascii="Wingdings" w:hAnsi="Wingdings" w:hint="default"/>
        <w:color w:val="000000"/>
      </w:rPr>
    </w:lvl>
    <w:lvl w:ilvl="6" w:tplc="97368D50" w:tentative="1">
      <w:start w:val="1"/>
      <w:numFmt w:val="bullet"/>
      <w:lvlText w:val=""/>
      <w:lvlJc w:val="left"/>
      <w:pPr>
        <w:tabs>
          <w:tab w:val="num" w:pos="5040"/>
        </w:tabs>
        <w:ind w:left="5040" w:hanging="360"/>
      </w:pPr>
      <w:rPr>
        <w:rFonts w:ascii="Symbol" w:hAnsi="Symbol" w:hint="default"/>
        <w:color w:val="000000"/>
      </w:rPr>
    </w:lvl>
    <w:lvl w:ilvl="7" w:tplc="1EF885E6" w:tentative="1">
      <w:start w:val="1"/>
      <w:numFmt w:val="bullet"/>
      <w:lvlText w:val="o"/>
      <w:lvlJc w:val="left"/>
      <w:pPr>
        <w:tabs>
          <w:tab w:val="num" w:pos="5760"/>
        </w:tabs>
        <w:ind w:left="5760" w:hanging="360"/>
      </w:pPr>
      <w:rPr>
        <w:rFonts w:ascii="Courier New" w:hAnsi="Courier New" w:hint="default"/>
        <w:color w:val="000000"/>
      </w:rPr>
    </w:lvl>
    <w:lvl w:ilvl="8" w:tplc="3AFAD228" w:tentative="1">
      <w:start w:val="1"/>
      <w:numFmt w:val="bullet"/>
      <w:lvlText w:val=""/>
      <w:lvlJc w:val="left"/>
      <w:pPr>
        <w:tabs>
          <w:tab w:val="num" w:pos="6480"/>
        </w:tabs>
        <w:ind w:left="6480" w:hanging="360"/>
      </w:pPr>
      <w:rPr>
        <w:rFonts w:ascii="Wingdings" w:hAnsi="Wingdings" w:hint="default"/>
        <w:color w:val="000000"/>
      </w:rPr>
    </w:lvl>
  </w:abstractNum>
  <w:num w:numId="1">
    <w:abstractNumId w:val="0"/>
  </w:num>
  <w:num w:numId="2">
    <w:abstractNumId w:val="16"/>
  </w:num>
  <w:num w:numId="3">
    <w:abstractNumId w:val="13"/>
  </w:num>
  <w:num w:numId="4">
    <w:abstractNumId w:val="1"/>
  </w:num>
  <w:num w:numId="5">
    <w:abstractNumId w:val="4"/>
  </w:num>
  <w:num w:numId="6">
    <w:abstractNumId w:val="15"/>
  </w:num>
  <w:num w:numId="7">
    <w:abstractNumId w:val="7"/>
  </w:num>
  <w:num w:numId="8">
    <w:abstractNumId w:val="8"/>
  </w:num>
  <w:num w:numId="9">
    <w:abstractNumId w:val="14"/>
  </w:num>
  <w:num w:numId="10">
    <w:abstractNumId w:val="6"/>
  </w:num>
  <w:num w:numId="11">
    <w:abstractNumId w:val="12"/>
  </w:num>
  <w:num w:numId="12">
    <w:abstractNumId w:val="10"/>
  </w:num>
  <w:num w:numId="13">
    <w:abstractNumId w:val="9"/>
  </w:num>
  <w:num w:numId="14">
    <w:abstractNumId w:val="11"/>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AD"/>
    <w:rsid w:val="00014A6A"/>
    <w:rsid w:val="000239D0"/>
    <w:rsid w:val="00081BEF"/>
    <w:rsid w:val="000832E3"/>
    <w:rsid w:val="00093E49"/>
    <w:rsid w:val="000C2201"/>
    <w:rsid w:val="000F208D"/>
    <w:rsid w:val="00124929"/>
    <w:rsid w:val="001302FD"/>
    <w:rsid w:val="0013780D"/>
    <w:rsid w:val="001468FB"/>
    <w:rsid w:val="001521D9"/>
    <w:rsid w:val="00190FBD"/>
    <w:rsid w:val="001C7E9B"/>
    <w:rsid w:val="001D5FB2"/>
    <w:rsid w:val="00244C28"/>
    <w:rsid w:val="0024589B"/>
    <w:rsid w:val="00271293"/>
    <w:rsid w:val="002761B1"/>
    <w:rsid w:val="002A57CF"/>
    <w:rsid w:val="002B06C5"/>
    <w:rsid w:val="002C74DC"/>
    <w:rsid w:val="002D3DF2"/>
    <w:rsid w:val="002D4E41"/>
    <w:rsid w:val="00356868"/>
    <w:rsid w:val="003730B0"/>
    <w:rsid w:val="00380B78"/>
    <w:rsid w:val="003A5EF7"/>
    <w:rsid w:val="003B01AE"/>
    <w:rsid w:val="00406038"/>
    <w:rsid w:val="00413FA6"/>
    <w:rsid w:val="00425108"/>
    <w:rsid w:val="00455006"/>
    <w:rsid w:val="0048173A"/>
    <w:rsid w:val="00493B38"/>
    <w:rsid w:val="004A086B"/>
    <w:rsid w:val="004A5341"/>
    <w:rsid w:val="00515822"/>
    <w:rsid w:val="005A2B0A"/>
    <w:rsid w:val="005A4D96"/>
    <w:rsid w:val="005C6B73"/>
    <w:rsid w:val="005D2F4F"/>
    <w:rsid w:val="005D617C"/>
    <w:rsid w:val="005E0367"/>
    <w:rsid w:val="00624BA0"/>
    <w:rsid w:val="006434FB"/>
    <w:rsid w:val="006761C1"/>
    <w:rsid w:val="00676CC6"/>
    <w:rsid w:val="006A5354"/>
    <w:rsid w:val="006B4430"/>
    <w:rsid w:val="006C626C"/>
    <w:rsid w:val="00704B15"/>
    <w:rsid w:val="00716263"/>
    <w:rsid w:val="00717237"/>
    <w:rsid w:val="00724895"/>
    <w:rsid w:val="00726514"/>
    <w:rsid w:val="00734AF6"/>
    <w:rsid w:val="007361BF"/>
    <w:rsid w:val="007569D2"/>
    <w:rsid w:val="00761B35"/>
    <w:rsid w:val="00766DEA"/>
    <w:rsid w:val="00773619"/>
    <w:rsid w:val="00784461"/>
    <w:rsid w:val="00790A2F"/>
    <w:rsid w:val="007A3BFD"/>
    <w:rsid w:val="007C7B3F"/>
    <w:rsid w:val="007C7F8C"/>
    <w:rsid w:val="007F3364"/>
    <w:rsid w:val="00830509"/>
    <w:rsid w:val="0083534F"/>
    <w:rsid w:val="00875AE0"/>
    <w:rsid w:val="00876977"/>
    <w:rsid w:val="008818FB"/>
    <w:rsid w:val="008D0E91"/>
    <w:rsid w:val="009143C2"/>
    <w:rsid w:val="009151AD"/>
    <w:rsid w:val="00926C6A"/>
    <w:rsid w:val="009667E0"/>
    <w:rsid w:val="00966C53"/>
    <w:rsid w:val="00982C41"/>
    <w:rsid w:val="00986B70"/>
    <w:rsid w:val="00993AA3"/>
    <w:rsid w:val="009B01E2"/>
    <w:rsid w:val="009B52A0"/>
    <w:rsid w:val="009E2B6F"/>
    <w:rsid w:val="009F5571"/>
    <w:rsid w:val="00A05AAE"/>
    <w:rsid w:val="00A07D78"/>
    <w:rsid w:val="00A17ADB"/>
    <w:rsid w:val="00A31970"/>
    <w:rsid w:val="00A52A87"/>
    <w:rsid w:val="00A61697"/>
    <w:rsid w:val="00A66234"/>
    <w:rsid w:val="00A95E18"/>
    <w:rsid w:val="00AC065C"/>
    <w:rsid w:val="00AF7469"/>
    <w:rsid w:val="00B1393D"/>
    <w:rsid w:val="00B42E49"/>
    <w:rsid w:val="00B70B02"/>
    <w:rsid w:val="00B70E9B"/>
    <w:rsid w:val="00B8787E"/>
    <w:rsid w:val="00BB0F4A"/>
    <w:rsid w:val="00BD032A"/>
    <w:rsid w:val="00BD7762"/>
    <w:rsid w:val="00BE08EC"/>
    <w:rsid w:val="00BF3737"/>
    <w:rsid w:val="00C061B9"/>
    <w:rsid w:val="00C20BAB"/>
    <w:rsid w:val="00C20D02"/>
    <w:rsid w:val="00C31525"/>
    <w:rsid w:val="00C3231F"/>
    <w:rsid w:val="00C334D7"/>
    <w:rsid w:val="00C660AC"/>
    <w:rsid w:val="00C721BE"/>
    <w:rsid w:val="00C7324A"/>
    <w:rsid w:val="00CA10F8"/>
    <w:rsid w:val="00CA60CD"/>
    <w:rsid w:val="00CD5BBB"/>
    <w:rsid w:val="00CF1D59"/>
    <w:rsid w:val="00D023EA"/>
    <w:rsid w:val="00D12BC6"/>
    <w:rsid w:val="00D23590"/>
    <w:rsid w:val="00D42874"/>
    <w:rsid w:val="00D749DD"/>
    <w:rsid w:val="00DA7159"/>
    <w:rsid w:val="00DA7C99"/>
    <w:rsid w:val="00DB0AE1"/>
    <w:rsid w:val="00DF2E9C"/>
    <w:rsid w:val="00DF7F2D"/>
    <w:rsid w:val="00E43380"/>
    <w:rsid w:val="00ED682F"/>
    <w:rsid w:val="00EE43E5"/>
    <w:rsid w:val="00F45A74"/>
    <w:rsid w:val="00F93EBB"/>
    <w:rsid w:val="00FA1C46"/>
    <w:rsid w:val="00FA3609"/>
    <w:rsid w:val="00FB3F2B"/>
    <w:rsid w:val="00FD18D3"/>
    <w:rsid w:val="00FE2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42B7794C-3D9C-4023-B17A-49796BF6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BB"/>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F93EBB"/>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F93EBB"/>
    <w:pPr>
      <w:numPr>
        <w:ilvl w:val="1"/>
        <w:numId w:val="1"/>
      </w:numPr>
      <w:tabs>
        <w:tab w:val="left" w:pos="2552"/>
        <w:tab w:val="left" w:pos="3402"/>
      </w:tabs>
      <w:outlineLvl w:val="1"/>
    </w:pPr>
  </w:style>
  <w:style w:type="paragraph" w:styleId="Heading3">
    <w:name w:val="heading 3"/>
    <w:basedOn w:val="Normal"/>
    <w:next w:val="NoNumCrt"/>
    <w:link w:val="Heading3Char"/>
    <w:qFormat/>
    <w:rsid w:val="00F93EBB"/>
    <w:pPr>
      <w:numPr>
        <w:ilvl w:val="2"/>
        <w:numId w:val="1"/>
      </w:numPr>
      <w:tabs>
        <w:tab w:val="left" w:pos="1701"/>
        <w:tab w:val="left" w:pos="3402"/>
      </w:tabs>
      <w:outlineLvl w:val="2"/>
    </w:pPr>
  </w:style>
  <w:style w:type="paragraph" w:styleId="Heading4">
    <w:name w:val="heading 4"/>
    <w:basedOn w:val="Normal"/>
    <w:next w:val="NoNumCrt"/>
    <w:link w:val="Heading4Char"/>
    <w:qFormat/>
    <w:rsid w:val="00F93EBB"/>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F93EBB"/>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F93EBB"/>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F93EBB"/>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F93EBB"/>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F93EBB"/>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rsid w:val="006434FB"/>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3EBB"/>
    <w:pPr>
      <w:tabs>
        <w:tab w:val="center" w:pos="4153"/>
        <w:tab w:val="right" w:pos="8306"/>
      </w:tabs>
    </w:pPr>
  </w:style>
  <w:style w:type="character" w:customStyle="1" w:styleId="HeaderChar">
    <w:name w:val="Header Char"/>
    <w:basedOn w:val="DefaultParagraphFont"/>
    <w:link w:val="Header"/>
    <w:rsid w:val="00766DEA"/>
    <w:rPr>
      <w:rFonts w:ascii="Arial" w:eastAsia="Times New Roman" w:hAnsi="Arial" w:cs="Arial"/>
      <w:sz w:val="21"/>
      <w:szCs w:val="20"/>
      <w:lang w:eastAsia="en-NZ"/>
    </w:rPr>
  </w:style>
  <w:style w:type="paragraph" w:styleId="Footer">
    <w:name w:val="footer"/>
    <w:basedOn w:val="Normal"/>
    <w:link w:val="FooterChar"/>
    <w:rsid w:val="00F93EBB"/>
    <w:pPr>
      <w:tabs>
        <w:tab w:val="center" w:pos="4153"/>
        <w:tab w:val="right" w:pos="8306"/>
      </w:tabs>
    </w:pPr>
  </w:style>
  <w:style w:type="character" w:customStyle="1" w:styleId="FooterChar">
    <w:name w:val="Footer Char"/>
    <w:basedOn w:val="DefaultParagraphFont"/>
    <w:link w:val="Footer"/>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F93EBB"/>
    <w:pPr>
      <w:tabs>
        <w:tab w:val="left" w:pos="851"/>
        <w:tab w:val="left" w:pos="1701"/>
        <w:tab w:val="left" w:pos="2552"/>
        <w:tab w:val="left" w:pos="3402"/>
      </w:tabs>
    </w:pPr>
  </w:style>
  <w:style w:type="paragraph" w:customStyle="1" w:styleId="Court">
    <w:name w:val="Court"/>
    <w:basedOn w:val="Normal"/>
    <w:rsid w:val="00F93EBB"/>
    <w:pPr>
      <w:spacing w:line="360" w:lineRule="auto"/>
    </w:pPr>
  </w:style>
  <w:style w:type="paragraph" w:customStyle="1" w:styleId="Textright">
    <w:name w:val="Text right"/>
    <w:basedOn w:val="Normal"/>
    <w:rsid w:val="00F93EBB"/>
    <w:pPr>
      <w:ind w:left="4320"/>
      <w:jc w:val="left"/>
    </w:pPr>
  </w:style>
  <w:style w:type="paragraph" w:customStyle="1" w:styleId="Signingposright">
    <w:name w:val="Signing pos right"/>
    <w:basedOn w:val="Normal"/>
    <w:rsid w:val="00F93EBB"/>
    <w:pPr>
      <w:spacing w:line="20" w:lineRule="atLeast"/>
      <w:ind w:left="4320" w:right="662"/>
      <w:jc w:val="left"/>
    </w:pPr>
  </w:style>
  <w:style w:type="paragraph" w:customStyle="1" w:styleId="NoNumCrt">
    <w:name w:val="NoNumCrt"/>
    <w:basedOn w:val="NoNum"/>
    <w:rsid w:val="00F93EBB"/>
  </w:style>
  <w:style w:type="paragraph" w:styleId="FootnoteText">
    <w:name w:val="footnote text"/>
    <w:basedOn w:val="Normal"/>
    <w:link w:val="FootnoteTextChar"/>
    <w:semiHidden/>
    <w:rsid w:val="00F93EBB"/>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table" w:customStyle="1" w:styleId="SG1black">
    <w:name w:val="SG1 black"/>
    <w:basedOn w:val="TableNormal"/>
    <w:uiPriority w:val="99"/>
    <w:rsid w:val="00982C41"/>
    <w:pPr>
      <w:spacing w:after="0" w:line="240" w:lineRule="auto"/>
    </w:p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982C41"/>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982C41"/>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982C41"/>
    <w:pPr>
      <w:spacing w:after="0" w:line="240" w:lineRule="auto"/>
    </w:p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982C41"/>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982C41"/>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982C41"/>
    <w:pPr>
      <w:spacing w:after="0" w:line="240" w:lineRule="auto"/>
    </w:p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982C41"/>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982C41"/>
    <w:pPr>
      <w:spacing w:after="0" w:line="240" w:lineRule="auto"/>
    </w:p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styleId="FootnoteReference">
    <w:name w:val="footnote reference"/>
    <w:semiHidden/>
    <w:rsid w:val="00D42874"/>
    <w:rPr>
      <w:vertAlign w:val="superscript"/>
    </w:rPr>
  </w:style>
  <w:style w:type="paragraph" w:styleId="ListParagraph">
    <w:name w:val="List Paragraph"/>
    <w:basedOn w:val="Normal"/>
    <w:uiPriority w:val="34"/>
    <w:qFormat/>
    <w:rsid w:val="004A5341"/>
    <w:pPr>
      <w:ind w:left="720"/>
      <w:contextualSpacing/>
    </w:pPr>
  </w:style>
  <w:style w:type="paragraph" w:styleId="EndnoteText">
    <w:name w:val="endnote text"/>
    <w:basedOn w:val="Normal"/>
    <w:link w:val="EndnoteTextChar"/>
    <w:uiPriority w:val="99"/>
    <w:semiHidden/>
    <w:unhideWhenUsed/>
    <w:rsid w:val="00D23590"/>
    <w:rPr>
      <w:sz w:val="20"/>
    </w:rPr>
  </w:style>
  <w:style w:type="character" w:customStyle="1" w:styleId="EndnoteTextChar">
    <w:name w:val="Endnote Text Char"/>
    <w:basedOn w:val="DefaultParagraphFont"/>
    <w:link w:val="EndnoteText"/>
    <w:uiPriority w:val="99"/>
    <w:semiHidden/>
    <w:rsid w:val="00D23590"/>
    <w:rPr>
      <w:rFonts w:ascii="Arial" w:eastAsia="Times New Roman" w:hAnsi="Arial" w:cs="Arial"/>
      <w:sz w:val="20"/>
      <w:szCs w:val="20"/>
      <w:lang w:eastAsia="en-NZ"/>
    </w:rPr>
  </w:style>
  <w:style w:type="character" w:styleId="EndnoteReference">
    <w:name w:val="endnote reference"/>
    <w:basedOn w:val="DefaultParagraphFont"/>
    <w:uiPriority w:val="99"/>
    <w:semiHidden/>
    <w:unhideWhenUsed/>
    <w:rsid w:val="00D23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5546">
      <w:bodyDiv w:val="1"/>
      <w:marLeft w:val="0"/>
      <w:marRight w:val="0"/>
      <w:marTop w:val="0"/>
      <w:marBottom w:val="0"/>
      <w:divBdr>
        <w:top w:val="none" w:sz="0" w:space="0" w:color="auto"/>
        <w:left w:val="none" w:sz="0" w:space="0" w:color="auto"/>
        <w:bottom w:val="none" w:sz="0" w:space="0" w:color="auto"/>
        <w:right w:val="none" w:sz="0" w:space="0" w:color="auto"/>
      </w:divBdr>
    </w:div>
    <w:div w:id="640812068">
      <w:bodyDiv w:val="1"/>
      <w:marLeft w:val="0"/>
      <w:marRight w:val="0"/>
      <w:marTop w:val="0"/>
      <w:marBottom w:val="0"/>
      <w:divBdr>
        <w:top w:val="none" w:sz="0" w:space="0" w:color="auto"/>
        <w:left w:val="none" w:sz="0" w:space="0" w:color="auto"/>
        <w:bottom w:val="none" w:sz="0" w:space="0" w:color="auto"/>
        <w:right w:val="none" w:sz="0" w:space="0" w:color="auto"/>
      </w:divBdr>
    </w:div>
    <w:div w:id="831260705">
      <w:bodyDiv w:val="1"/>
      <w:marLeft w:val="0"/>
      <w:marRight w:val="0"/>
      <w:marTop w:val="0"/>
      <w:marBottom w:val="0"/>
      <w:divBdr>
        <w:top w:val="none" w:sz="0" w:space="0" w:color="auto"/>
        <w:left w:val="none" w:sz="0" w:space="0" w:color="auto"/>
        <w:bottom w:val="none" w:sz="0" w:space="0" w:color="auto"/>
        <w:right w:val="none" w:sz="0" w:space="0" w:color="auto"/>
      </w:divBdr>
    </w:div>
    <w:div w:id="1806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BF72-791F-4828-B2FB-7C10ED28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2191</Words>
  <Characters>12491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Grierson</dc:creator>
  <cp:lastModifiedBy>Ruth Malo</cp:lastModifiedBy>
  <cp:revision>2</cp:revision>
  <cp:lastPrinted>2014-11-03T22:47:00Z</cp:lastPrinted>
  <dcterms:created xsi:type="dcterms:W3CDTF">2015-12-23T01:20:00Z</dcterms:created>
  <dcterms:modified xsi:type="dcterms:W3CDTF">2015-12-23T01:20:00Z</dcterms:modified>
</cp:coreProperties>
</file>